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19115</w:t>
      </w:r>
      <w:bookmarkStart w:id="5" w:name="_GoBack"/>
      <w:bookmarkEnd w:id="5"/>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NCSG</w:t>
      </w:r>
      <w:bookmarkEnd w:id="0"/>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8.11.2.3</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the following agreements on the </w:t>
      </w:r>
      <w:r>
        <w:rPr>
          <w:color w:val="auto"/>
          <w:sz w:val="21"/>
          <w:szCs w:val="21"/>
          <w:lang w:val="zh-CN"/>
        </w:rPr>
        <w:t>network controlled small gap</w:t>
      </w:r>
      <w:r>
        <w:rPr>
          <w:rFonts w:hint="eastAsia" w:eastAsia="宋体"/>
          <w:color w:val="auto"/>
          <w:sz w:val="21"/>
          <w:szCs w:val="21"/>
          <w:lang w:val="en-US" w:eastAsia="zh-CN"/>
        </w:rPr>
        <w:t xml:space="preserve"> were achieved [1]:</w:t>
      </w:r>
      <w:r>
        <w:rPr>
          <w:rFonts w:hint="default" w:eastAsia="宋体"/>
          <w:color w:val="auto"/>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4"/>
                <w:szCs w:val="24"/>
                <w:u w:val="single"/>
                <w:lang w:val="en-US"/>
              </w:rPr>
            </w:pPr>
            <w:r>
              <w:rPr>
                <w:rFonts w:hint="eastAsia" w:ascii="Times New Roman" w:hAnsi="Times New Roman" w:cs="Times New Roman"/>
                <w:b/>
                <w:bCs/>
                <w:color w:val="auto"/>
                <w:sz w:val="24"/>
                <w:szCs w:val="24"/>
                <w:u w:val="single"/>
                <w:lang w:val="en-US"/>
              </w:rPr>
              <w:t>Scenarios and use cases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NCSG in FR2</w:t>
            </w:r>
          </w:p>
          <w:p>
            <w:pPr>
              <w:pStyle w:val="26"/>
              <w:keepNext w:val="0"/>
              <w:keepLines w:val="0"/>
              <w:pageBreakBefore w:val="0"/>
              <w:numPr>
                <w:ilvl w:val="0"/>
                <w:numId w:val="4"/>
              </w:numPr>
              <w:kinsoku/>
              <w:wordWrap/>
              <w:overflowPunct/>
              <w:topLinePunct w:val="0"/>
              <w:autoSpaceDE/>
              <w:autoSpaceDN/>
              <w:bidi w:val="0"/>
              <w:adjustRightInd/>
              <w:snapToGrid/>
              <w:ind w:left="-60" w:left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ind w:left="660" w:left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NCSG in FR2 shall be considered in this WI. How to indicate support of NCSG in FR2 is FFS. </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eastAsia="宋体" w:cs="Times New Roman"/>
                <w:b/>
                <w:bCs/>
                <w:color w:val="auto"/>
                <w:sz w:val="20"/>
                <w:szCs w:val="20"/>
                <w:lang w:val="en-US" w:eastAsia="zh-CN"/>
              </w:rPr>
            </w:pPr>
            <w:r>
              <w:rPr>
                <w:rFonts w:hint="eastAsia" w:ascii="Times New Roman" w:hAnsi="Times New Roman" w:cs="Times New Roman"/>
                <w:b/>
                <w:bCs/>
                <w:color w:val="auto"/>
                <w:sz w:val="20"/>
                <w:szCs w:val="20"/>
                <w:lang w:val="en-US"/>
              </w:rPr>
              <w:t>Use case for different types of measurement with NCSG</w:t>
            </w:r>
          </w:p>
          <w:p>
            <w:pPr>
              <w:pStyle w:val="26"/>
              <w:keepNext w:val="0"/>
              <w:keepLines w:val="0"/>
              <w:pageBreakBefore w:val="0"/>
              <w:numPr>
                <w:ilvl w:val="0"/>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Confirm the agreements in RAN4#99e that NCSG can be used for:</w:t>
            </w:r>
          </w:p>
          <w:p>
            <w:pPr>
              <w:pStyle w:val="26"/>
              <w:keepNext w:val="0"/>
              <w:keepLines w:val="0"/>
              <w:pageBreakBefore w:val="0"/>
              <w:numPr>
                <w:ilvl w:val="2"/>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Measurement on de-activated SCell</w:t>
            </w:r>
          </w:p>
          <w:p>
            <w:pPr>
              <w:pStyle w:val="26"/>
              <w:keepNext w:val="0"/>
              <w:keepLines w:val="0"/>
              <w:pageBreakBefore w:val="0"/>
              <w:numPr>
                <w:ilvl w:val="2"/>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SSB based intra-frequency measurement with gap</w:t>
            </w:r>
          </w:p>
          <w:p>
            <w:pPr>
              <w:pStyle w:val="26"/>
              <w:keepNext w:val="0"/>
              <w:keepLines w:val="0"/>
              <w:pageBreakBefore w:val="0"/>
              <w:numPr>
                <w:ilvl w:val="2"/>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SSB based inter-frequency measurement with gap</w:t>
            </w:r>
          </w:p>
          <w:p>
            <w:pPr>
              <w:pStyle w:val="26"/>
              <w:keepNext w:val="0"/>
              <w:keepLines w:val="0"/>
              <w:pageBreakBefore w:val="0"/>
              <w:numPr>
                <w:ilvl w:val="2"/>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Inter-RAT E-UTRAN measurement</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It is FFS whether NCSG can be used for measurement on dormant SCell.</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It is FFS whether NCSG can be used for CSI-RS based inter-frequency measurement with gap.</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NCSG will not be used for 2G/3G measurements and PRS measurements.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Whether NW should configure the legacy MG rather than NCSG even UE can support both of them</w:t>
            </w:r>
          </w:p>
          <w:p>
            <w:pPr>
              <w:pStyle w:val="26"/>
              <w:keepNext w:val="0"/>
              <w:keepLines w:val="0"/>
              <w:pageBreakBefore w:val="0"/>
              <w:numPr>
                <w:ilvl w:val="0"/>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Even if UE supports NCSG then it is up to the NW implementation to configure the UE with legacy MG or with NCSG.”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Other applicability issues</w:t>
            </w:r>
          </w:p>
          <w:p>
            <w:pPr>
              <w:pStyle w:val="26"/>
              <w:keepNext w:val="0"/>
              <w:keepLines w:val="0"/>
              <w:pageBreakBefore w:val="0"/>
              <w:numPr>
                <w:ilvl w:val="0"/>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RAN4 to clarify whether to allow NCSG to be supported with NRDC and NEDC as well.</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eastAsia="宋体"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TW"/>
              </w:rPr>
              <w:t>NCSG pattern</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supported NCSG patterns in R17</w:t>
            </w:r>
          </w:p>
          <w:p>
            <w:pPr>
              <w:pStyle w:val="26"/>
              <w:keepNext w:val="0"/>
              <w:keepLines w:val="0"/>
              <w:pageBreakBefore w:val="0"/>
              <w:numPr>
                <w:ilvl w:val="0"/>
                <w:numId w:val="5"/>
              </w:numPr>
              <w:kinsoku/>
              <w:wordWrap/>
              <w:overflowPunct/>
              <w:topLinePunct w:val="0"/>
              <w:autoSpaceDE/>
              <w:autoSpaceDN/>
              <w:bidi w:val="0"/>
              <w:adjustRightInd/>
              <w:snapToGrid/>
              <w:ind w:left="-60" w:leftChars="0"/>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No need to introduce NCSG patterns corresponding to legacy MG patterns #24 and #25.</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It is FFS whether to introduce NCSG patterns with longer repetition periodicity (&gt;160ms).</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Define NCSG patterns corresponding to legacy patterns #0~#23</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 xml:space="preserve">FFS how to indicate the support of NCSG patterns </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TW" w:bidi="ar-SA"/>
              </w:rPr>
            </w:pPr>
            <w:r>
              <w:rPr>
                <w:rFonts w:hint="eastAsia" w:ascii="Times New Roman" w:hAnsi="Times New Roman" w:eastAsia="宋体" w:cs="Times New Roman"/>
                <w:color w:val="auto"/>
                <w:kern w:val="0"/>
                <w:sz w:val="18"/>
                <w:szCs w:val="18"/>
                <w:lang w:val="en-US" w:eastAsia="zh-CN" w:bidi="ar-SA"/>
              </w:rPr>
              <w:t>A subset of mandatory NCSG patterns for UEs supporting NCSG will be defined. FFS on the set of mandatory NCSG patterns.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4"/>
                <w:szCs w:val="24"/>
                <w:u w:val="single"/>
                <w:lang w:val="en-US" w:eastAsia="zh-TW"/>
              </w:rPr>
            </w:pPr>
            <w:r>
              <w:rPr>
                <w:rFonts w:hint="eastAsia" w:ascii="Times New Roman" w:hAnsi="Times New Roman" w:cs="Times New Roman"/>
                <w:b/>
                <w:bCs/>
                <w:color w:val="auto"/>
                <w:sz w:val="24"/>
                <w:szCs w:val="24"/>
                <w:u w:val="single"/>
                <w:lang w:val="en-US" w:eastAsia="zh-TW"/>
              </w:rPr>
              <w:t>VIL, RRT and ML</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length of VIL</w:t>
            </w:r>
          </w:p>
          <w:p>
            <w:pPr>
              <w:pStyle w:val="26"/>
              <w:keepNext w:val="0"/>
              <w:keepLines w:val="0"/>
              <w:pageBreakBefore w:val="0"/>
              <w:numPr>
                <w:ilvl w:val="0"/>
                <w:numId w:val="5"/>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Agreements in the 1st round:</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Translate [1ms] (FR1) and [0.75ms] (FR2) into the number of interrupted slots for defining the interruption requirements for the synchronous case and one more slot is added for asynchronous case.</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firstLine="201" w:firstLineChars="100"/>
              <w:textAlignment w:val="auto"/>
              <w:rPr>
                <w:rFonts w:hint="eastAsia" w:ascii="Times New Roman" w:hAnsi="Times New Roman" w:cs="Times New Roman"/>
                <w:b/>
                <w:bCs/>
                <w:color w:val="auto"/>
                <w:sz w:val="20"/>
                <w:szCs w:val="20"/>
                <w:lang w:val="en-US"/>
              </w:rPr>
            </w:pPr>
            <w:r>
              <w:rPr>
                <w:rFonts w:hint="eastAsia" w:ascii="Times New Roman" w:hAnsi="Times New Roman" w:cs="Times New Roman"/>
                <w:b/>
                <w:bCs/>
                <w:color w:val="auto"/>
                <w:sz w:val="20"/>
                <w:szCs w:val="20"/>
                <w:lang w:val="en-US"/>
              </w:rPr>
              <w:t>length of RRT</w:t>
            </w:r>
          </w:p>
          <w:p>
            <w:pPr>
              <w:pStyle w:val="26"/>
              <w:keepNext w:val="0"/>
              <w:keepLines w:val="0"/>
              <w:pageBreakBefore w:val="0"/>
              <w:numPr>
                <w:ilvl w:val="0"/>
                <w:numId w:val="5"/>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bookmarkStart w:id="1" w:name="OLE_LINK6"/>
            <w:r>
              <w:rPr>
                <w:rFonts w:hint="eastAsia" w:ascii="Times New Roman" w:hAnsi="Times New Roman" w:eastAsia="宋体" w:cs="Times New Roman"/>
                <w:color w:val="auto"/>
                <w:kern w:val="0"/>
                <w:sz w:val="18"/>
                <w:szCs w:val="18"/>
                <w:lang w:val="en-US" w:eastAsia="zh-CN" w:bidi="ar-SA"/>
              </w:rPr>
              <w:t>Agreements in the 1st round:</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The following RRT time can be used as assumption to derive ML</w:t>
            </w:r>
          </w:p>
          <w:p>
            <w:pPr>
              <w:pStyle w:val="26"/>
              <w:keepNext w:val="0"/>
              <w:keepLines w:val="0"/>
              <w:pageBreakBefore w:val="0"/>
              <w:numPr>
                <w:ilvl w:val="2"/>
                <w:numId w:val="4"/>
              </w:numPr>
              <w:kinsoku/>
              <w:wordWrap/>
              <w:overflowPunct/>
              <w:topLinePunct w:val="0"/>
              <w:autoSpaceDE/>
              <w:autoSpaceDN/>
              <w:bidi w:val="0"/>
              <w:adjustRightInd/>
              <w:snapToGrid/>
              <w:jc w:val="both"/>
              <w:textAlignment w:val="auto"/>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eastAsia="宋体" w:cs="Times New Roman"/>
                <w:color w:val="auto"/>
                <w:kern w:val="0"/>
                <w:sz w:val="18"/>
                <w:szCs w:val="18"/>
                <w:lang w:val="en-US" w:eastAsia="zh-CN" w:bidi="ar-SA"/>
              </w:rPr>
              <w:t>RRT = 0.5 ms for FR1 and 0.25 ms for FR2</w:t>
            </w:r>
          </w:p>
          <w:p>
            <w:pPr>
              <w:pStyle w:val="26"/>
              <w:keepNext w:val="0"/>
              <w:keepLines w:val="0"/>
              <w:pageBreakBefore w:val="0"/>
              <w:numPr>
                <w:ilvl w:val="1"/>
                <w:numId w:val="4"/>
              </w:numPr>
              <w:kinsoku/>
              <w:wordWrap/>
              <w:overflowPunct/>
              <w:topLinePunct w:val="0"/>
              <w:autoSpaceDE/>
              <w:autoSpaceDN/>
              <w:bidi w:val="0"/>
              <w:adjustRightInd/>
              <w:snapToGrid/>
              <w:jc w:val="both"/>
              <w:textAlignment w:val="auto"/>
              <w:rPr>
                <w:rFonts w:hint="eastAsia" w:eastAsia="宋体" w:asciiTheme="minorHAnsi" w:hAnsiTheme="minorHAnsi"/>
                <w:color w:val="auto"/>
                <w:sz w:val="22"/>
                <w:szCs w:val="22"/>
                <w:lang w:val="en-US" w:eastAsia="zh-CN"/>
              </w:rPr>
            </w:pPr>
            <w:r>
              <w:rPr>
                <w:rFonts w:hint="eastAsia" w:ascii="Times New Roman" w:hAnsi="Times New Roman" w:eastAsia="宋体" w:cs="Times New Roman"/>
                <w:color w:val="auto"/>
                <w:kern w:val="0"/>
                <w:sz w:val="18"/>
                <w:szCs w:val="18"/>
                <w:lang w:val="en-US" w:eastAsia="zh-CN" w:bidi="ar-SA"/>
              </w:rPr>
              <w:t>Whether to capture above RRT time in RAN4 spec is FFS.</w:t>
            </w:r>
            <w:bookmarkEnd w:id="1"/>
          </w:p>
        </w:tc>
      </w:tr>
    </w:tbl>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discussions on the following open issues.</w:t>
      </w:r>
    </w:p>
    <w:p>
      <w:pPr>
        <w:pStyle w:val="14"/>
        <w:numPr>
          <w:ilvl w:val="1"/>
          <w:numId w:val="6"/>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Scenarios and use cases</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Use case for different types of measurement with NCSG</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Use case for different UE capability and network configuration</w:t>
      </w:r>
    </w:p>
    <w:p>
      <w:pPr>
        <w:pStyle w:val="14"/>
        <w:numPr>
          <w:ilvl w:val="0"/>
          <w:numId w:val="7"/>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Other applicability issues</w:t>
      </w:r>
    </w:p>
    <w:p>
      <w:pPr>
        <w:pStyle w:val="14"/>
        <w:numPr>
          <w:ilvl w:val="1"/>
          <w:numId w:val="6"/>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NCSG pattern</w:t>
      </w:r>
    </w:p>
    <w:p>
      <w:pPr>
        <w:pStyle w:val="14"/>
        <w:numPr>
          <w:ilvl w:val="0"/>
          <w:numId w:val="8"/>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supported NCSG patterns in R17</w:t>
      </w:r>
    </w:p>
    <w:p>
      <w:pPr>
        <w:pStyle w:val="14"/>
        <w:numPr>
          <w:ilvl w:val="0"/>
          <w:numId w:val="8"/>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whether to define separate NCSG patterns for sync and async</w:t>
      </w:r>
    </w:p>
    <w:p>
      <w:pPr>
        <w:pStyle w:val="14"/>
        <w:numPr>
          <w:ilvl w:val="0"/>
          <w:numId w:val="8"/>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whether to consider VIL as a part of NCSG pattern</w:t>
      </w:r>
    </w:p>
    <w:p>
      <w:pPr>
        <w:pStyle w:val="14"/>
        <w:numPr>
          <w:ilvl w:val="1"/>
          <w:numId w:val="6"/>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VIL, RRT and ML</w:t>
      </w:r>
    </w:p>
    <w:p>
      <w:pPr>
        <w:pStyle w:val="14"/>
        <w:numPr>
          <w:ilvl w:val="0"/>
          <w:numId w:val="9"/>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whether to replace VIL (visible interruption length) with RRT (RF retuning time)</w:t>
      </w:r>
    </w:p>
    <w:p>
      <w:pPr>
        <w:pStyle w:val="14"/>
        <w:numPr>
          <w:ilvl w:val="0"/>
          <w:numId w:val="9"/>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relation between ML, MGL and RRT</w:t>
      </w:r>
    </w:p>
    <w:p>
      <w:pPr>
        <w:pStyle w:val="14"/>
        <w:numPr>
          <w:ilvl w:val="0"/>
          <w:numId w:val="9"/>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UL slot after VIL1</w:t>
      </w:r>
    </w:p>
    <w:p>
      <w:pPr>
        <w:pStyle w:val="14"/>
        <w:numPr>
          <w:ilvl w:val="1"/>
          <w:numId w:val="6"/>
        </w:numPr>
        <w:overflowPunct/>
        <w:autoSpaceDE/>
        <w:autoSpaceDN/>
        <w:adjustRightInd/>
        <w:spacing w:before="0" w:beforeAutospacing="0" w:after="120" w:afterAutospacing="0"/>
        <w:ind w:left="317" w:hanging="357"/>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UE capability and network configuration of NCSG</w:t>
      </w:r>
    </w:p>
    <w:p>
      <w:pPr>
        <w:pStyle w:val="14"/>
        <w:numPr>
          <w:ilvl w:val="0"/>
          <w:numId w:val="9"/>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whether additional NCSG capability for per-UE and per-FR differentiation is needed on top of existing per-UE and per-FR capability</w:t>
      </w:r>
    </w:p>
    <w:p>
      <w:pPr>
        <w:pStyle w:val="14"/>
        <w:numPr>
          <w:ilvl w:val="0"/>
          <w:numId w:val="9"/>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how to indicate the support of NCSG pattern</w:t>
      </w:r>
    </w:p>
    <w:p>
      <w:pPr>
        <w:pStyle w:val="14"/>
        <w:numPr>
          <w:ilvl w:val="0"/>
          <w:numId w:val="9"/>
        </w:numPr>
        <w:overflowPunct/>
        <w:autoSpaceDE/>
        <w:autoSpaceDN/>
        <w:adjustRightInd/>
        <w:spacing w:before="0" w:beforeAutospacing="0" w:after="120" w:afterAutospacing="0"/>
        <w:ind w:left="0" w:leftChars="0" w:firstLine="737"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configuration of NCSG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color w:val="auto"/>
          <w:sz w:val="28"/>
          <w:szCs w:val="28"/>
          <w:lang w:val="en-US" w:eastAsia="zh-CN"/>
        </w:rPr>
      </w:pPr>
      <w:r>
        <w:rPr>
          <w:rFonts w:hint="eastAsia"/>
          <w:color w:val="auto"/>
          <w:sz w:val="28"/>
          <w:szCs w:val="28"/>
          <w:lang w:val="en-US" w:eastAsia="zh-CN"/>
        </w:rPr>
        <w:t>2.1 Scenarios and use cases</w:t>
      </w: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2.1.1 Use case for different types of measurement with NCSG</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According to the agreements in last meeting, still two use cases are FFS: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iCs/>
                <w:lang w:val="en-US" w:eastAsia="zh-CN"/>
              </w:rPr>
            </w:pPr>
            <w:r>
              <w:rPr>
                <w:rFonts w:eastAsia="宋体" w:asciiTheme="minorHAnsi" w:hAnsiTheme="minorHAnsi" w:cstheme="minorHAnsi"/>
                <w:iCs/>
                <w:lang w:val="en-US" w:eastAsia="zh-CN"/>
              </w:rPr>
              <w:t xml:space="preserve">It is FFS whether NCSG can be used for measurement on </w:t>
            </w:r>
            <w:bookmarkStart w:id="2" w:name="OLE_LINK14"/>
            <w:r>
              <w:rPr>
                <w:rFonts w:eastAsia="宋体" w:asciiTheme="minorHAnsi" w:hAnsiTheme="minorHAnsi" w:cstheme="minorHAnsi"/>
                <w:iCs/>
                <w:lang w:val="en-US" w:eastAsia="zh-CN"/>
              </w:rPr>
              <w:t>dormant SCell</w:t>
            </w:r>
            <w:bookmarkEnd w:id="2"/>
            <w:r>
              <w:rPr>
                <w:rFonts w:eastAsia="宋体" w:asciiTheme="minorHAnsi" w:hAnsiTheme="minorHAnsi" w:cstheme="minorHAnsi"/>
                <w:iCs/>
                <w:lang w:val="en-US" w:eastAsia="zh-CN"/>
              </w:rPr>
              <w:t>.</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eastAsia" w:eastAsia="宋体"/>
                <w:color w:val="auto"/>
                <w:sz w:val="21"/>
                <w:szCs w:val="21"/>
                <w:highlight w:val="none"/>
                <w:vertAlign w:val="baseline"/>
                <w:lang w:val="en-US" w:eastAsia="zh-CN"/>
              </w:rPr>
            </w:pPr>
            <w:r>
              <w:rPr>
                <w:rFonts w:eastAsia="宋体" w:asciiTheme="minorHAnsi" w:hAnsiTheme="minorHAnsi" w:cstheme="minorHAnsi"/>
                <w:iCs/>
                <w:lang w:val="en-US" w:eastAsia="zh-CN"/>
              </w:rPr>
              <w:t>It is FFS whether NCSG can be used for CSI-RS based inter-frequency measurement with gap.</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From our perspective, whether NCSG can be applied to a use case, which depends on whether in such use case the UE only needs to perform L3 measurement on the target frequency layer, and do not need to receive or transmit other channel or signal with RF chain. If such condition can be guaranteed, only idle RF chain on/off delay i.e. VIL introduced, and without additional service interruption introduced by Measurement Length i.e. ML. For measurement on dormant SCell and CSI-RS based inter-frequency measurement, if only L3 measurement operation is needed, the UE do not need to receive or transmit in the cell(here the cell means dormant SCell or an inter-frequency cell), we believe which can be NCSG use cases. </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Observation</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If only L3 measurement operation is needed and without need of other receiving/transmitting operation for the target cell, then NCSG can be applied.</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dormant SCell, besides L3 measurement, UE still needs to perform L1 measurement so as to acquire beam management, CSI acquirement and tracking, which can not be done within NCSG, so we suggest the use cases of NCSG not including the measurement on dormant SCell.</w:t>
      </w:r>
    </w:p>
    <w:p>
      <w:pPr>
        <w:rPr>
          <w:rFonts w:hint="eastAsia"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Not support applying NCSG to the use case of measurement on dormant SCell.</w:t>
      </w:r>
      <w:r>
        <w:rPr>
          <w:rFonts w:hint="eastAsia" w:eastAsia="宋体"/>
          <w:color w:val="auto"/>
          <w:sz w:val="21"/>
          <w:szCs w:val="21"/>
          <w:highlight w:val="none"/>
          <w:lang w:val="en-US" w:eastAsia="zh-CN"/>
        </w:rPr>
        <w:t xml:space="preserve">       </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CSI-RS based inter-frequency measurement with gap, it is similar with the case of SSB based inter-frequency measurement with gap, but according to the UE capability, maybe additional cell timing determination operation should be added. In such case, the UE needs to perform associated SSB detection so as to identify the cell timing, then can receive CSI-RS. Therefore, our preference is not supporting applying NCSG to CSI-RS based inter-frequency measurement with gap.   </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Not support applying NCSG to the use case of CSI-RS based inter-frequency measurement with gap.</w:t>
      </w:r>
      <w:r>
        <w:rPr>
          <w:rFonts w:hint="eastAsia" w:eastAsia="宋体"/>
          <w:color w:val="auto"/>
          <w:sz w:val="21"/>
          <w:szCs w:val="21"/>
          <w:highlight w:val="none"/>
          <w:lang w:val="en-US" w:eastAsia="zh-CN"/>
        </w:rPr>
        <w:t xml:space="preserve">  </w:t>
      </w: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2.1.2 Use case for different UE capability and network configuration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the following options were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iCs/>
                <w:lang w:val="en-US" w:eastAsia="zh-CN"/>
              </w:rPr>
            </w:pPr>
            <w:r>
              <w:rPr>
                <w:rFonts w:eastAsia="宋体" w:asciiTheme="minorHAnsi" w:hAnsiTheme="minorHAnsi" w:cstheme="minorHAnsi"/>
                <w:iCs/>
                <w:lang w:val="en-US" w:eastAsia="zh-CN"/>
              </w:rPr>
              <w:t xml:space="preserve">Option 1: </w:t>
            </w:r>
            <w:r>
              <w:rPr>
                <w:rFonts w:eastAsia="宋体" w:asciiTheme="minorHAnsi" w:hAnsiTheme="minorHAnsi" w:cstheme="minorHAnsi"/>
                <w:bCs/>
                <w:iCs/>
                <w:lang w:val="en-US" w:eastAsia="zh-CN"/>
              </w:rPr>
              <w:t>RAN4 to define UE measurement requirements with different UE capabilities and NW configurations as in the following table: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2297"/>
              <w:gridCol w:w="2297"/>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l2br w:val="single" w:color="auto" w:sz="4" w:space="0"/>
                  </w:tcBorders>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           NW config</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UE capability</w:t>
                  </w:r>
                </w:p>
              </w:tc>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Case a: </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MG nor NCSG</w:t>
                  </w:r>
                </w:p>
              </w:tc>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b:</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NCSG</w:t>
                  </w:r>
                </w:p>
              </w:tc>
              <w:tc>
                <w:tcPr>
                  <w:tcW w:w="240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Case c: </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1: gap</w:t>
                  </w:r>
                </w:p>
              </w:tc>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40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within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2: no-gap-with-interruption</w:t>
                  </w:r>
                </w:p>
              </w:tc>
              <w:tc>
                <w:tcPr>
                  <w:tcW w:w="2405" w:type="dxa"/>
                  <w:shd w:val="clear" w:color="auto" w:fill="auto"/>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within NCSG with only NCSG interruption allowed</w:t>
                  </w:r>
                </w:p>
              </w:tc>
              <w:tc>
                <w:tcPr>
                  <w:tcW w:w="240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within MG with only legacy gap interruption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3: no-gap-no-interruption</w:t>
                  </w:r>
                </w:p>
              </w:tc>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without MG</w:t>
                  </w:r>
                </w:p>
              </w:tc>
              <w:tc>
                <w:tcPr>
                  <w:tcW w:w="2405"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outside NCSG</w:t>
                  </w:r>
                </w:p>
              </w:tc>
              <w:tc>
                <w:tcPr>
                  <w:tcW w:w="240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outside MG</w:t>
                  </w:r>
                </w:p>
              </w:tc>
            </w:tr>
          </w:tbl>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default" w:eastAsia="宋体"/>
                <w:color w:val="auto"/>
                <w:sz w:val="21"/>
                <w:szCs w:val="21"/>
                <w:highlight w:val="none"/>
                <w:vertAlign w:val="baseline"/>
                <w:lang w:val="en-US" w:eastAsia="zh-CN"/>
              </w:rPr>
            </w:pPr>
            <w:r>
              <w:rPr>
                <w:rFonts w:eastAsia="宋体" w:asciiTheme="minorHAnsi" w:hAnsiTheme="minorHAnsi" w:cstheme="minorHAnsi"/>
                <w:iCs/>
                <w:kern w:val="2"/>
                <w:sz w:val="21"/>
                <w:szCs w:val="22"/>
                <w:lang w:val="en-US" w:eastAsia="zh-CN" w:bidi="ar-SA"/>
              </w:rPr>
              <w:t>Option 2: other solutions are not precluded.</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Basically we support Option 1, but some revise are needed.</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Case 2*Case c, the UE has the capability of NCSG, but NW still configures legacy MG to the UE. In such case, which means NW requires the UE to perform measurement with legacy MG, not measurement with NCSG, so the scheduling restriction still exists. Therefore, such case should be described as </w:t>
      </w:r>
      <w:r>
        <w:rPr>
          <w:rFonts w:hint="default" w:eastAsia="宋体"/>
          <w:color w:val="auto"/>
          <w:sz w:val="21"/>
          <w:szCs w:val="21"/>
          <w:lang w:val="en-US" w:eastAsia="zh-CN"/>
        </w:rPr>
        <w:t>“</w:t>
      </w:r>
      <w:r>
        <w:rPr>
          <w:rFonts w:hint="eastAsia" w:eastAsia="宋体"/>
          <w:color w:val="auto"/>
          <w:sz w:val="21"/>
          <w:szCs w:val="21"/>
          <w:lang w:val="en-US" w:eastAsia="zh-CN"/>
        </w:rPr>
        <w:t>Measurement within MG</w:t>
      </w:r>
      <w:r>
        <w:rPr>
          <w:rFonts w:hint="default" w:eastAsia="宋体"/>
          <w:color w:val="auto"/>
          <w:sz w:val="21"/>
          <w:szCs w:val="21"/>
          <w:lang w:val="en-US" w:eastAsia="zh-CN"/>
        </w:rPr>
        <w:t>”</w:t>
      </w:r>
      <w:r>
        <w:rPr>
          <w:rFonts w:hint="eastAsia" w:eastAsia="宋体"/>
          <w:color w:val="auto"/>
          <w:sz w:val="21"/>
          <w:szCs w:val="21"/>
          <w:lang w:val="en-US" w:eastAsia="zh-CN"/>
        </w:rPr>
        <w:t xml:space="preserve"> in the table.</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Case 3*Case b, the UE has the capability to perform measurement without interruption and without MG, but NW still configures the UE with NCSG, which means NW requires the UE to perform measurement with NCSG, so such case should be described as </w:t>
      </w:r>
      <w:r>
        <w:rPr>
          <w:rFonts w:hint="default" w:eastAsia="宋体"/>
          <w:color w:val="auto"/>
          <w:sz w:val="21"/>
          <w:szCs w:val="21"/>
          <w:lang w:val="en-US" w:eastAsia="zh-CN"/>
        </w:rPr>
        <w:t>“Measurement within NCSG with only NCSG interruption allowed”</w:t>
      </w:r>
      <w:r>
        <w:rPr>
          <w:rFonts w:hint="eastAsia" w:eastAsia="宋体"/>
          <w:color w:val="auto"/>
          <w:sz w:val="21"/>
          <w:szCs w:val="21"/>
          <w:lang w:val="en-US" w:eastAsia="zh-CN"/>
        </w:rPr>
        <w:t>.</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Case 3*Case c, similar as Case 3*Case b, UE has strong capability but NW requires the UE to perform measurement with legacy MG, so it should be described as </w:t>
      </w:r>
      <w:r>
        <w:rPr>
          <w:rFonts w:hint="default" w:eastAsia="宋体"/>
          <w:color w:val="auto"/>
          <w:sz w:val="21"/>
          <w:szCs w:val="21"/>
          <w:lang w:val="en-US" w:eastAsia="zh-CN"/>
        </w:rPr>
        <w:t>“</w:t>
      </w:r>
      <w:bookmarkStart w:id="3" w:name="OLE_LINK4"/>
      <w:r>
        <w:rPr>
          <w:rFonts w:hint="eastAsia" w:eastAsia="宋体"/>
          <w:color w:val="auto"/>
          <w:sz w:val="21"/>
          <w:szCs w:val="21"/>
          <w:lang w:val="en-US" w:eastAsia="zh-CN"/>
        </w:rPr>
        <w:t>Measurement within MG</w:t>
      </w:r>
      <w:bookmarkEnd w:id="3"/>
      <w:r>
        <w:rPr>
          <w:rFonts w:hint="default" w:eastAsia="宋体"/>
          <w:color w:val="auto"/>
          <w:sz w:val="21"/>
          <w:szCs w:val="21"/>
          <w:lang w:val="en-US" w:eastAsia="zh-CN"/>
        </w:rPr>
        <w:t>”</w:t>
      </w:r>
      <w:r>
        <w:rPr>
          <w:rFonts w:hint="eastAsia" w:eastAsia="宋体"/>
          <w:color w:val="auto"/>
          <w:sz w:val="21"/>
          <w:szCs w:val="21"/>
          <w:lang w:val="en-US" w:eastAsia="zh-CN"/>
        </w:rPr>
        <w:t>.</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fact, how to perform measurement by the UE and whether scheduling restriction exists, which not only depend on the UE capability, but also on the NW configuration.</w:t>
      </w:r>
    </w:p>
    <w:p>
      <w:p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Some revise should be added into the table in Option 1. The revised table is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2"/>
        <w:gridCol w:w="2174"/>
        <w:gridCol w:w="2566"/>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Borders>
              <w:tl2br w:val="single" w:color="auto" w:sz="4" w:space="0"/>
            </w:tcBorders>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           NW config</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UE capability</w:t>
            </w:r>
          </w:p>
        </w:tc>
        <w:tc>
          <w:tcPr>
            <w:tcW w:w="2174"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Case a: </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MG nor NCSG</w:t>
            </w:r>
          </w:p>
        </w:tc>
        <w:tc>
          <w:tcPr>
            <w:tcW w:w="256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b:</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NCSG</w:t>
            </w:r>
          </w:p>
        </w:tc>
        <w:tc>
          <w:tcPr>
            <w:tcW w:w="237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Case c: </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1: gap</w:t>
            </w:r>
          </w:p>
        </w:tc>
        <w:tc>
          <w:tcPr>
            <w:tcW w:w="2174"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56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37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within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2: no-gap-with-interruption</w:t>
            </w:r>
          </w:p>
        </w:tc>
        <w:tc>
          <w:tcPr>
            <w:tcW w:w="2174" w:type="dxa"/>
            <w:shd w:val="clear" w:color="auto" w:fill="auto"/>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56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within NCSG with only NCSG interruption allowed</w:t>
            </w:r>
          </w:p>
        </w:tc>
        <w:tc>
          <w:tcPr>
            <w:tcW w:w="237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strike/>
                <w:dstrike w:val="0"/>
                <w:color w:val="000000" w:themeColor="text1"/>
                <w:szCs w:val="24"/>
                <w:lang w:eastAsia="zh-CN"/>
                <w14:textFill>
                  <w14:solidFill>
                    <w14:schemeClr w14:val="tx1"/>
                  </w14:solidFill>
                </w14:textFill>
              </w:rPr>
              <w:t>Measurement within MG with only legacy gap interruption allowed</w:t>
            </w:r>
            <w:r>
              <w:rPr>
                <w:rFonts w:hint="eastAsia" w:ascii="Calibri" w:hAnsi="Calibri" w:cs="Calibri"/>
                <w:b/>
                <w:strike/>
                <w:dstrike w:val="0"/>
                <w:color w:val="000000" w:themeColor="text1"/>
                <w:szCs w:val="24"/>
                <w:lang w:val="en-US" w:eastAsia="zh-CN"/>
                <w14:textFill>
                  <w14:solidFill>
                    <w14:schemeClr w14:val="tx1"/>
                  </w14:solidFill>
                </w14:textFill>
              </w:rPr>
              <w:t xml:space="preserve"> </w:t>
            </w:r>
            <w:r>
              <w:rPr>
                <w:rFonts w:hint="eastAsia" w:ascii="Calibri" w:hAnsi="Calibri" w:cs="Calibri"/>
                <w:b/>
                <w:color w:val="0000FF"/>
                <w:szCs w:val="24"/>
                <w:lang w:val="en-US" w:eastAsia="zh-CN"/>
              </w:rPr>
              <w:t>Measurement within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3: no-gap-no-interruption</w:t>
            </w:r>
          </w:p>
        </w:tc>
        <w:tc>
          <w:tcPr>
            <w:tcW w:w="2174"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without MG</w:t>
            </w:r>
          </w:p>
        </w:tc>
        <w:tc>
          <w:tcPr>
            <w:tcW w:w="2566" w:type="dxa"/>
          </w:tcPr>
          <w:p>
            <w:pPr>
              <w:keepNext w:val="0"/>
              <w:keepLines w:val="0"/>
              <w:pageBreakBefore w:val="0"/>
              <w:widowControl w:val="0"/>
              <w:kinsoku/>
              <w:wordWrap/>
              <w:overflowPunct/>
              <w:topLinePunct w:val="0"/>
              <w:autoSpaceDE/>
              <w:autoSpaceDN/>
              <w:bidi w:val="0"/>
              <w:adjustRightInd/>
              <w:snapToGrid/>
              <w:textAlignment w:val="auto"/>
              <w:rPr>
                <w:rFonts w:hint="default" w:ascii="Calibri" w:hAnsi="Calibri" w:cs="Calibri"/>
                <w:b/>
                <w:color w:val="000000" w:themeColor="text1"/>
                <w:szCs w:val="24"/>
                <w:lang w:val="en-US" w:eastAsia="zh-CN"/>
                <w14:textFill>
                  <w14:solidFill>
                    <w14:schemeClr w14:val="tx1"/>
                  </w14:solidFill>
                </w14:textFill>
              </w:rPr>
            </w:pPr>
            <w:r>
              <w:rPr>
                <w:rFonts w:ascii="Calibri" w:hAnsi="Calibri" w:cs="Calibri"/>
                <w:b/>
                <w:strike/>
                <w:dstrike w:val="0"/>
                <w:color w:val="000000" w:themeColor="text1"/>
                <w:szCs w:val="24"/>
                <w:lang w:eastAsia="zh-CN"/>
                <w14:textFill>
                  <w14:solidFill>
                    <w14:schemeClr w14:val="tx1"/>
                  </w14:solidFill>
                </w14:textFill>
              </w:rPr>
              <w:t>Measurement outside NCSG</w:t>
            </w:r>
            <w:r>
              <w:rPr>
                <w:rFonts w:hint="eastAsia" w:ascii="Calibri" w:hAnsi="Calibri" w:cs="Calibri"/>
                <w:b/>
                <w:color w:val="000000" w:themeColor="text1"/>
                <w:szCs w:val="24"/>
                <w:lang w:val="en-US" w:eastAsia="zh-CN"/>
                <w14:textFill>
                  <w14:solidFill>
                    <w14:schemeClr w14:val="tx1"/>
                  </w14:solidFill>
                </w14:textFill>
              </w:rPr>
              <w:t xml:space="preserve"> </w:t>
            </w:r>
            <w:r>
              <w:rPr>
                <w:rFonts w:hint="eastAsia" w:ascii="Calibri" w:hAnsi="Calibri" w:cs="Calibri"/>
                <w:b/>
                <w:color w:val="0000FF"/>
                <w:szCs w:val="24"/>
                <w:lang w:val="en-US" w:eastAsia="zh-CN"/>
              </w:rPr>
              <w:t>Measurement within NCSG with only NCSG interruption allowed</w:t>
            </w:r>
          </w:p>
        </w:tc>
        <w:tc>
          <w:tcPr>
            <w:tcW w:w="2372" w:type="dxa"/>
          </w:tcPr>
          <w:p>
            <w:pPr>
              <w:keepNext w:val="0"/>
              <w:keepLines w:val="0"/>
              <w:pageBreakBefore w:val="0"/>
              <w:widowControl w:val="0"/>
              <w:kinsoku/>
              <w:wordWrap/>
              <w:overflowPunct/>
              <w:topLinePunct w:val="0"/>
              <w:autoSpaceDE/>
              <w:autoSpaceDN/>
              <w:bidi w:val="0"/>
              <w:adjustRightInd/>
              <w:snapToGrid/>
              <w:textAlignment w:val="auto"/>
              <w:rPr>
                <w:rFonts w:hint="default" w:ascii="Calibri" w:hAnsi="Calibri" w:cs="Calibri"/>
                <w:b/>
                <w:color w:val="000000" w:themeColor="text1"/>
                <w:szCs w:val="24"/>
                <w:lang w:val="en-US" w:eastAsia="zh-CN"/>
                <w14:textFill>
                  <w14:solidFill>
                    <w14:schemeClr w14:val="tx1"/>
                  </w14:solidFill>
                </w14:textFill>
              </w:rPr>
            </w:pPr>
            <w:r>
              <w:rPr>
                <w:rFonts w:ascii="Calibri" w:hAnsi="Calibri" w:cs="Calibri"/>
                <w:b/>
                <w:strike/>
                <w:dstrike w:val="0"/>
                <w:color w:val="000000" w:themeColor="text1"/>
                <w:szCs w:val="24"/>
                <w:lang w:eastAsia="zh-CN"/>
                <w14:textFill>
                  <w14:solidFill>
                    <w14:schemeClr w14:val="tx1"/>
                  </w14:solidFill>
                </w14:textFill>
              </w:rPr>
              <w:t>Measurement outside MG</w:t>
            </w:r>
            <w:r>
              <w:rPr>
                <w:rFonts w:hint="eastAsia" w:ascii="Calibri" w:hAnsi="Calibri" w:cs="Calibri"/>
                <w:b/>
                <w:color w:val="000000" w:themeColor="text1"/>
                <w:szCs w:val="24"/>
                <w:lang w:val="en-US" w:eastAsia="zh-CN"/>
                <w14:textFill>
                  <w14:solidFill>
                    <w14:schemeClr w14:val="tx1"/>
                  </w14:solidFill>
                </w14:textFill>
              </w:rPr>
              <w:t xml:space="preserve"> </w:t>
            </w:r>
            <w:r>
              <w:rPr>
                <w:rFonts w:hint="eastAsia" w:ascii="Calibri" w:hAnsi="Calibri" w:cs="Calibri"/>
                <w:b/>
                <w:color w:val="0000FF"/>
                <w:szCs w:val="24"/>
                <w:lang w:val="en-US" w:eastAsia="zh-CN"/>
              </w:rPr>
              <w:t>Measurement within MG</w:t>
            </w:r>
          </w:p>
        </w:tc>
      </w:tr>
    </w:tbl>
    <w:p>
      <w:pPr>
        <w:rPr>
          <w:rFonts w:hint="default" w:eastAsia="宋体"/>
          <w:color w:val="auto"/>
          <w:sz w:val="21"/>
          <w:szCs w:val="21"/>
          <w:highlight w:val="none"/>
          <w:lang w:val="en-US" w:eastAsia="zh-CN"/>
        </w:rPr>
      </w:pP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2.1.3 Other applicability issues</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According to the approved conclusion, still some detailed contents are FFS.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FFS: Existing gap applicability in Rel-16 for NR-only measurements and mandatory gap patterns is re-used for NCSG capable UEs.</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FFS: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FFS: NCSG can be configured simultaneously with legacy MG pattern.</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default"/>
                <w:vertAlign w:val="baseline"/>
                <w:lang w:val="en-US" w:eastAsia="zh-CN"/>
              </w:rPr>
            </w:pPr>
            <w:r>
              <w:rPr>
                <w:rFonts w:eastAsia="宋体" w:asciiTheme="minorHAnsi" w:hAnsiTheme="minorHAnsi" w:cstheme="minorHAnsi"/>
                <w:bCs/>
                <w:iCs/>
                <w:lang w:eastAsia="zh-CN"/>
              </w:rPr>
              <w:t>FFS: NCSG can be pre-configured and will reuse the activation/deactivation mechanism developed for pre-configured measurement gaps.</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default"/>
                <w:vertAlign w:val="baseline"/>
                <w:lang w:val="en-US" w:eastAsia="zh-CN"/>
              </w:rPr>
            </w:pPr>
            <w:r>
              <w:rPr>
                <w:rFonts w:eastAsia="宋体" w:asciiTheme="minorHAnsi" w:hAnsiTheme="minorHAnsi" w:cstheme="minorHAnsi"/>
                <w:bCs/>
                <w:iCs/>
                <w:lang w:eastAsia="zh-CN"/>
              </w:rPr>
              <w:t>FFS: NCSG can be configured and activated together with concurrent measurement gaps.</w:t>
            </w:r>
          </w:p>
        </w:tc>
      </w:tr>
    </w:tbl>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For the last three FFS, actually all of them can be discussed together. For the stage 2 discussion, the combination of pre-configured MG, concurrent MGs, and NCSG can be further discussed. Further more, whether support NCSG activation/deactivation, also can be discussed during the combination consideration. </w:t>
      </w:r>
    </w:p>
    <w:p>
      <w:pPr>
        <w:rPr>
          <w:rFonts w:hint="default"/>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the last three FFS, postpone them until the combination consideration of pre-configured MG, concurrent MGs, NCSG.   </w:t>
      </w:r>
    </w:p>
    <w:p>
      <w:pPr>
        <w:pStyle w:val="3"/>
        <w:bidi w:val="0"/>
        <w:rPr>
          <w:rFonts w:hint="eastAsia"/>
          <w:color w:val="auto"/>
          <w:sz w:val="28"/>
          <w:szCs w:val="28"/>
          <w:lang w:val="en-US" w:eastAsia="zh-CN"/>
        </w:rPr>
      </w:pPr>
      <w:r>
        <w:rPr>
          <w:rFonts w:hint="eastAsia"/>
          <w:color w:val="auto"/>
          <w:sz w:val="28"/>
          <w:szCs w:val="28"/>
          <w:lang w:val="en-US" w:eastAsia="zh-CN"/>
        </w:rPr>
        <w:t>2.2 NCSG pattern</w:t>
      </w:r>
    </w:p>
    <w:p>
      <w:pPr>
        <w:rPr>
          <w:rFonts w:hint="eastAsia"/>
          <w:lang w:val="en-US" w:eastAsia="zh-CN"/>
        </w:rPr>
      </w:pP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2.2.1 Supported NCSG patterns in R17</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still two FFS should be further discussed based on the approve achieved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0"/>
              </w:numPr>
              <w:kinsoku/>
              <w:wordWrap/>
              <w:overflowPunct w:val="0"/>
              <w:topLinePunct w:val="0"/>
              <w:autoSpaceDE w:val="0"/>
              <w:autoSpaceDN w:val="0"/>
              <w:bidi w:val="0"/>
              <w:adjustRightInd w:val="0"/>
              <w:snapToGrid/>
              <w:spacing w:after="0"/>
              <w:jc w:val="both"/>
              <w:textAlignment w:val="baseline"/>
              <w:rPr>
                <w:rFonts w:asciiTheme="minorHAnsi" w:hAnsiTheme="minorHAnsi" w:cstheme="minorHAnsi"/>
                <w:bCs/>
                <w:highlight w:val="green"/>
              </w:rPr>
            </w:pPr>
            <w:r>
              <w:rPr>
                <w:rFonts w:asciiTheme="minorHAnsi" w:hAnsiTheme="minorHAnsi" w:cstheme="minorHAnsi"/>
                <w:bCs/>
                <w:highlight w:val="green"/>
              </w:rPr>
              <w:t>Agreement:</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No need to introduce NCSG patterns corresponding to legacy MG patterns #24 and #25.</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It is FFS whether to introduce NCSG patterns with longer repetition periodicity (&gt;160ms).</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Define NCSG patterns corresponding to legacy patterns #0~#23</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eastAsia" w:eastAsia="宋体"/>
                <w:color w:val="auto"/>
                <w:sz w:val="21"/>
                <w:szCs w:val="21"/>
                <w:highlight w:val="none"/>
                <w:vertAlign w:val="baseline"/>
                <w:lang w:val="en-US" w:eastAsia="zh-CN"/>
              </w:rPr>
            </w:pPr>
            <w:r>
              <w:rPr>
                <w:rFonts w:eastAsia="宋体" w:asciiTheme="minorHAnsi" w:hAnsiTheme="minorHAnsi" w:cstheme="minorHAnsi"/>
                <w:bCs/>
                <w:iCs/>
                <w:lang w:eastAsia="zh-CN"/>
              </w:rPr>
              <w:t xml:space="preserve">FFS how to indicate the support of NCSG patterns </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eastAsia" w:eastAsia="宋体"/>
                <w:color w:val="auto"/>
                <w:sz w:val="21"/>
                <w:szCs w:val="21"/>
                <w:highlight w:val="none"/>
                <w:vertAlign w:val="baseline"/>
                <w:lang w:val="en-US" w:eastAsia="zh-CN"/>
              </w:rPr>
            </w:pPr>
            <w:r>
              <w:rPr>
                <w:rFonts w:eastAsia="宋体" w:asciiTheme="minorHAnsi" w:hAnsiTheme="minorHAnsi" w:cstheme="minorHAnsi"/>
                <w:bCs/>
                <w:iCs/>
                <w:lang w:eastAsia="zh-CN"/>
              </w:rPr>
              <w:t>A subset of mandatory NCSG patterns for UEs supporting NCSG will be defined. FFS on the set of mandatory NCSG patterns.</w:t>
            </w:r>
          </w:p>
        </w:tc>
      </w:tr>
    </w:tbl>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For </w:t>
      </w:r>
      <w:r>
        <w:rPr>
          <w:rFonts w:hint="default" w:eastAsia="宋体"/>
          <w:color w:val="auto"/>
          <w:sz w:val="21"/>
          <w:szCs w:val="21"/>
          <w:lang w:val="en-US" w:eastAsia="zh-CN"/>
        </w:rPr>
        <w:t>“</w:t>
      </w:r>
      <w:r>
        <w:rPr>
          <w:rFonts w:hint="eastAsia" w:eastAsia="宋体"/>
          <w:color w:val="auto"/>
          <w:sz w:val="21"/>
          <w:szCs w:val="21"/>
          <w:lang w:val="en-US" w:eastAsia="zh-CN"/>
        </w:rPr>
        <w:t>It is FFS whether to introduce NCSG patterns with longer repetition periodicity (&gt;160ms)</w:t>
      </w:r>
      <w:r>
        <w:rPr>
          <w:rFonts w:hint="default" w:eastAsia="宋体"/>
          <w:color w:val="auto"/>
          <w:sz w:val="21"/>
          <w:szCs w:val="21"/>
          <w:lang w:val="en-US" w:eastAsia="zh-CN"/>
        </w:rPr>
        <w:t>”</w:t>
      </w:r>
      <w:r>
        <w:rPr>
          <w:rFonts w:hint="eastAsia" w:eastAsia="宋体"/>
          <w:color w:val="auto"/>
          <w:sz w:val="21"/>
          <w:szCs w:val="21"/>
          <w:lang w:val="en-US" w:eastAsia="zh-CN"/>
        </w:rPr>
        <w:t xml:space="preserve">, we believe the difference between NCSG and legacy MG is that unnecessary scheduling restriction is eliminated and only keep VIL1 and VIL2 in NCSG. But for the measurement itself, without any new requirement. So, it is not recommended to introduce a larger measurement period. Unless some specific use case can be proposed.  </w:t>
      </w:r>
    </w:p>
    <w:p>
      <w:p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It is not recommended to introduce a larger measurement period. Unless some specific use case can be proposed.</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For </w:t>
      </w:r>
      <w:r>
        <w:rPr>
          <w:rFonts w:hint="default" w:eastAsia="宋体"/>
          <w:color w:val="auto"/>
          <w:sz w:val="21"/>
          <w:szCs w:val="21"/>
          <w:lang w:val="en-US" w:eastAsia="zh-CN"/>
        </w:rPr>
        <w:t>“F</w:t>
      </w:r>
      <w:r>
        <w:rPr>
          <w:rFonts w:hint="eastAsia" w:eastAsia="宋体"/>
          <w:color w:val="auto"/>
          <w:sz w:val="21"/>
          <w:szCs w:val="21"/>
          <w:lang w:val="en-US" w:eastAsia="zh-CN"/>
        </w:rPr>
        <w:t>F</w:t>
      </w:r>
      <w:r>
        <w:rPr>
          <w:rFonts w:hint="default" w:eastAsia="宋体"/>
          <w:color w:val="auto"/>
          <w:sz w:val="21"/>
          <w:szCs w:val="21"/>
          <w:lang w:val="en-US" w:eastAsia="zh-CN"/>
        </w:rPr>
        <w:t>S how to indicate the support of NCSG patterns”</w:t>
      </w:r>
      <w:r>
        <w:rPr>
          <w:rFonts w:hint="eastAsia" w:eastAsia="宋体"/>
          <w:color w:val="auto"/>
          <w:sz w:val="21"/>
          <w:szCs w:val="21"/>
          <w:lang w:val="en-US" w:eastAsia="zh-CN"/>
        </w:rPr>
        <w:t xml:space="preserve">, except for the mandatory NCSG pattern, UE can indicate NW other NCSG patterns it can support. In face, the indication details relate to how to define VIL and ML requirements. Therefore this FFS should be discussed until the VIL, ML requirements has been clarified. </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Until the VIL, ML requirements clarified, how to indicate the support of NCSG patterns can be determined.</w:t>
      </w: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2.2.2 Whether to define separate NCSG patterns for sync and async</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This issue is closely related with whether VIL is included in NCSG pattern or defined independently. The difference between sync and async mainly lies in VIL. If VIL is not included in NCSG pattern, it is unnecessary to define NCSG pattern for sync and async respectively. During last meeting, moderator recommended that VIL not be included in NCSG pattern. So, we believe it is not necessary to define separate NCSG patterns for sync and async. Just define the corresponding gap interruption for sync and async cases is enough. NW can configure the suitable NCSG pattern from all NSCG patterns for sync case or async case. Maybe the interruption length (VIL) can be independent with the NCSG pattern.</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the situation that VIL not be included in NCSG patttern, it is no need to define NCSG seperate patterns for sync and async.</w:t>
      </w:r>
    </w:p>
    <w:p>
      <w:pPr>
        <w:pStyle w:val="4"/>
        <w:bidi w:val="0"/>
        <w:rPr>
          <w:rFonts w:hint="eastAsia"/>
          <w:lang w:val="en-US" w:eastAsia="zh-CN"/>
        </w:rPr>
      </w:pPr>
      <w:r>
        <w:rPr>
          <w:rFonts w:hint="eastAsia" w:ascii="Helvetica" w:hAnsi="Helvetica" w:eastAsia="宋体" w:cs="Times New Roman"/>
          <w:b/>
          <w:bCs/>
          <w:color w:val="auto"/>
          <w:kern w:val="32"/>
          <w:sz w:val="28"/>
          <w:szCs w:val="32"/>
          <w:lang w:val="en-US" w:eastAsia="zh-CN" w:bidi="ar-SA"/>
        </w:rPr>
        <w:t>2.2.3 Whether to consider VIL as a part of NCSG pattern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the following options were discussed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jc w:val="both"/>
              <w:textAlignment w:val="baseline"/>
              <w:rPr>
                <w:rFonts w:asciiTheme="minorHAnsi" w:hAnsiTheme="minorHAnsi" w:cstheme="minorHAnsi"/>
                <w:bCs/>
              </w:rPr>
            </w:pPr>
            <w:r>
              <w:rPr>
                <w:rFonts w:asciiTheme="minorHAnsi" w:hAnsiTheme="minorHAnsi" w:cstheme="minorHAnsi"/>
                <w:bCs/>
              </w:rPr>
              <w:t>Option 1:</w:t>
            </w:r>
          </w:p>
          <w:p>
            <w:pPr>
              <w:pStyle w:val="26"/>
              <w:keepNext w:val="0"/>
              <w:keepLines w:val="0"/>
              <w:pageBreakBefore w:val="0"/>
              <w:widowControl w:val="0"/>
              <w:numPr>
                <w:ilvl w:val="1"/>
                <w:numId w:val="4"/>
              </w:numPr>
              <w:kinsoku/>
              <w:wordWrap/>
              <w:overflowPunct w:val="0"/>
              <w:topLinePunct w:val="0"/>
              <w:autoSpaceDE w:val="0"/>
              <w:autoSpaceDN w:val="0"/>
              <w:bidi w:val="0"/>
              <w:adjustRightInd w:val="0"/>
              <w:snapToGrid/>
              <w:spacing w:after="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NOT consider VIL as a part of NCSG pattern, i.e. only keep measurement length and repetition periodicity in the pattern design, and capture VIL separately as interruption requirements (similar to Table 9.1.2-4 in TS38.133).</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jc w:val="both"/>
              <w:textAlignment w:val="baseline"/>
              <w:rPr>
                <w:rFonts w:asciiTheme="minorHAnsi" w:hAnsiTheme="minorHAnsi" w:cstheme="minorHAnsi"/>
                <w:bCs/>
              </w:rPr>
            </w:pPr>
            <w:r>
              <w:rPr>
                <w:rFonts w:asciiTheme="minorHAnsi" w:hAnsiTheme="minorHAnsi" w:cstheme="minorHAnsi"/>
                <w:bCs/>
              </w:rPr>
              <w:t>Option 2:</w:t>
            </w:r>
          </w:p>
          <w:p>
            <w:pPr>
              <w:pStyle w:val="26"/>
              <w:keepNext w:val="0"/>
              <w:keepLines w:val="0"/>
              <w:pageBreakBefore w:val="0"/>
              <w:widowControl w:val="0"/>
              <w:numPr>
                <w:ilvl w:val="1"/>
                <w:numId w:val="4"/>
              </w:numPr>
              <w:kinsoku/>
              <w:wordWrap/>
              <w:overflowPunct w:val="0"/>
              <w:topLinePunct w:val="0"/>
              <w:autoSpaceDE w:val="0"/>
              <w:autoSpaceDN w:val="0"/>
              <w:bidi w:val="0"/>
              <w:adjustRightInd w:val="0"/>
              <w:snapToGrid/>
              <w:spacing w:after="0"/>
              <w:jc w:val="both"/>
              <w:textAlignment w:val="baseline"/>
              <w:rPr>
                <w:rFonts w:hint="default" w:eastAsia="宋体"/>
                <w:color w:val="auto"/>
                <w:sz w:val="21"/>
                <w:szCs w:val="21"/>
                <w:highlight w:val="none"/>
                <w:vertAlign w:val="baseline"/>
                <w:lang w:val="en-US" w:eastAsia="zh-CN"/>
              </w:rPr>
            </w:pPr>
            <w:r>
              <w:rPr>
                <w:rFonts w:eastAsia="宋体" w:asciiTheme="minorHAnsi" w:hAnsiTheme="minorHAnsi" w:cstheme="minorHAnsi"/>
                <w:bCs/>
                <w:iCs/>
                <w:lang w:eastAsia="zh-CN"/>
              </w:rPr>
              <w:t>Keep VIL as a part of the NCSG pattern.</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We support Option 1, i.e. not consider VIL as a part of NCSG pattern, i.e. only keep measurement length and repetition periodicity in the pattern design, and capture VIL separately as interruption requirements.</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We prefer Option 1, i.e. Not consider VIL as a part of NCSG pattern.</w:t>
      </w:r>
    </w:p>
    <w:p>
      <w:pPr>
        <w:pStyle w:val="3"/>
        <w:bidi w:val="0"/>
        <w:rPr>
          <w:rFonts w:hint="eastAsia"/>
          <w:color w:val="auto"/>
          <w:sz w:val="28"/>
          <w:szCs w:val="28"/>
          <w:lang w:val="en-US" w:eastAsia="zh-CN"/>
        </w:rPr>
      </w:pPr>
      <w:r>
        <w:rPr>
          <w:rFonts w:hint="eastAsia"/>
          <w:color w:val="auto"/>
          <w:sz w:val="28"/>
          <w:szCs w:val="28"/>
          <w:lang w:val="en-US" w:eastAsia="zh-CN"/>
        </w:rPr>
        <w:t>2.3 VIL, RRT and ML</w:t>
      </w: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2.3.1 Whether to replace VIL (visible interruption length) with RRT (RF retuning time)</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the following options were discussed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6"/>
              <w:keepNext w:val="0"/>
              <w:keepLines w:val="0"/>
              <w:pageBreakBefore w:val="0"/>
              <w:widowControl w:val="0"/>
              <w:numPr>
                <w:ilvl w:val="0"/>
                <w:numId w:val="0"/>
              </w:numPr>
              <w:kinsoku/>
              <w:wordWrap/>
              <w:overflowPunct w:val="0"/>
              <w:topLinePunct w:val="0"/>
              <w:autoSpaceDE w:val="0"/>
              <w:autoSpaceDN w:val="0"/>
              <w:bidi w:val="0"/>
              <w:adjustRightInd w:val="0"/>
              <w:snapToGrid/>
              <w:spacing w:after="0"/>
              <w:jc w:val="both"/>
              <w:textAlignment w:val="baseline"/>
              <w:rPr>
                <w:rFonts w:asciiTheme="minorHAnsi" w:hAnsiTheme="minorHAnsi" w:cstheme="minorHAnsi"/>
                <w:bCs/>
              </w:rPr>
            </w:pPr>
            <w:r>
              <w:rPr>
                <w:rFonts w:asciiTheme="minorHAnsi" w:hAnsiTheme="minorHAnsi" w:cstheme="minorHAnsi"/>
                <w:bCs/>
              </w:rPr>
              <w:t>Open issues:</w:t>
            </w:r>
          </w:p>
          <w:p>
            <w:pPr>
              <w:pStyle w:val="26"/>
              <w:keepNext w:val="0"/>
              <w:keepLines w:val="0"/>
              <w:pageBreakBefore w:val="0"/>
              <w:widowControl w:val="0"/>
              <w:numPr>
                <w:ilvl w:val="0"/>
                <w:numId w:val="5"/>
              </w:numPr>
              <w:kinsoku/>
              <w:wordWrap/>
              <w:overflowPunct w:val="0"/>
              <w:topLinePunct w:val="0"/>
              <w:autoSpaceDE w:val="0"/>
              <w:autoSpaceDN w:val="0"/>
              <w:bidi w:val="0"/>
              <w:adjustRightInd w:val="0"/>
              <w:snapToGrid/>
              <w:spacing w:after="0"/>
              <w:ind w:left="240" w:leftChars="0"/>
              <w:jc w:val="both"/>
              <w:textAlignment w:val="baseline"/>
              <w:rPr>
                <w:rFonts w:asciiTheme="minorHAnsi" w:hAnsiTheme="minorHAnsi" w:cstheme="minorHAnsi"/>
                <w:bCs/>
              </w:rPr>
            </w:pPr>
            <w:r>
              <w:rPr>
                <w:rFonts w:asciiTheme="minorHAnsi" w:hAnsiTheme="minorHAnsi" w:cstheme="minorHAnsi"/>
                <w:bCs/>
              </w:rPr>
              <w:t>Option 1: Yes. Introduce absolute RRT to replace VIL.</w:t>
            </w:r>
          </w:p>
          <w:p>
            <w:pPr>
              <w:pStyle w:val="26"/>
              <w:keepNext w:val="0"/>
              <w:keepLines w:val="0"/>
              <w:pageBreakBefore w:val="0"/>
              <w:widowControl w:val="0"/>
              <w:numPr>
                <w:ilvl w:val="0"/>
                <w:numId w:val="5"/>
              </w:numPr>
              <w:kinsoku/>
              <w:wordWrap/>
              <w:overflowPunct w:val="0"/>
              <w:topLinePunct w:val="0"/>
              <w:autoSpaceDE w:val="0"/>
              <w:autoSpaceDN w:val="0"/>
              <w:bidi w:val="0"/>
              <w:adjustRightInd w:val="0"/>
              <w:snapToGrid/>
              <w:spacing w:after="0"/>
              <w:ind w:left="240" w:leftChars="0"/>
              <w:jc w:val="both"/>
              <w:textAlignment w:val="baseline"/>
              <w:rPr>
                <w:rFonts w:asciiTheme="minorHAnsi" w:hAnsiTheme="minorHAnsi" w:cstheme="minorHAnsi"/>
                <w:bCs/>
              </w:rPr>
            </w:pPr>
            <w:r>
              <w:rPr>
                <w:rFonts w:asciiTheme="minorHAnsi" w:hAnsiTheme="minorHAnsi" w:cstheme="minorHAnsi"/>
                <w:bCs/>
              </w:rPr>
              <w:t>Option 2: VIL and RRT can be defined separately.</w:t>
            </w:r>
          </w:p>
          <w:p>
            <w:pPr>
              <w:pStyle w:val="26"/>
              <w:keepNext w:val="0"/>
              <w:keepLines w:val="0"/>
              <w:pageBreakBefore w:val="0"/>
              <w:widowControl w:val="0"/>
              <w:numPr>
                <w:ilvl w:val="0"/>
                <w:numId w:val="5"/>
              </w:numPr>
              <w:kinsoku/>
              <w:wordWrap/>
              <w:overflowPunct w:val="0"/>
              <w:topLinePunct w:val="0"/>
              <w:autoSpaceDE w:val="0"/>
              <w:autoSpaceDN w:val="0"/>
              <w:bidi w:val="0"/>
              <w:adjustRightInd w:val="0"/>
              <w:snapToGrid/>
              <w:spacing w:after="0"/>
              <w:ind w:left="240" w:leftChars="0"/>
              <w:jc w:val="both"/>
              <w:textAlignment w:val="baseline"/>
              <w:rPr>
                <w:rFonts w:hint="default"/>
                <w:vertAlign w:val="baseline"/>
                <w:lang w:val="en-US" w:eastAsia="zh-CN"/>
              </w:rPr>
            </w:pPr>
            <w:r>
              <w:rPr>
                <w:rFonts w:asciiTheme="minorHAnsi" w:hAnsiTheme="minorHAnsi" w:cstheme="minorHAnsi"/>
                <w:bCs/>
              </w:rPr>
              <w:t>Option 3: only capture VIL in RAN4 spec. RRT can be used to calculate ML in discussion. But no need to capture RRT in RAN4 spec.</w:t>
            </w:r>
          </w:p>
        </w:tc>
      </w:tr>
    </w:tbl>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We prefer Option 2. Considering VIL contains more than RF retuning time(RRT), so the length of VIL should be larger than RRT. The requirement of VIL absolutely need to be defined. For the requirement of RRT, which has already be defined as 0.5ms for FR1 and 0.25 ms for FR2. </w:t>
      </w:r>
    </w:p>
    <w:p>
      <w:pPr>
        <w:rPr>
          <w:rFonts w:hint="default"/>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9</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VIL and RRT can be defined separately.</w:t>
      </w: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2.3.2 Relation between ML, MGL and RRT</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the following options were discussed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0"/>
              </w:numPr>
              <w:kinsoku/>
              <w:wordWrap/>
              <w:topLinePunct w:val="0"/>
              <w:bidi w:val="0"/>
              <w:snapToGrid/>
              <w:spacing w:after="0"/>
              <w:jc w:val="both"/>
              <w:rPr>
                <w:rFonts w:asciiTheme="minorHAnsi" w:hAnsiTheme="minorHAnsi" w:cstheme="minorHAnsi"/>
                <w:bCs/>
              </w:rPr>
            </w:pPr>
            <w:r>
              <w:rPr>
                <w:rFonts w:asciiTheme="minorHAnsi" w:hAnsiTheme="minorHAnsi" w:cstheme="minorHAnsi"/>
                <w:bCs/>
              </w:rPr>
              <w:t>Open issues:</w:t>
            </w:r>
          </w:p>
          <w:p>
            <w:pPr>
              <w:keepNext w:val="0"/>
              <w:keepLines w:val="0"/>
              <w:pageBreakBefore w:val="0"/>
              <w:widowControl w:val="0"/>
              <w:numPr>
                <w:ilvl w:val="0"/>
                <w:numId w:val="10"/>
              </w:numPr>
              <w:kinsoku/>
              <w:wordWrap/>
              <w:topLinePunct w:val="0"/>
              <w:bidi w:val="0"/>
              <w:snapToGrid/>
              <w:jc w:val="both"/>
              <w:rPr>
                <w:rFonts w:asciiTheme="minorHAnsi" w:hAnsiTheme="minorHAnsi" w:cstheme="minorHAnsi"/>
                <w:bCs/>
              </w:rPr>
            </w:pPr>
            <w:r>
              <w:rPr>
                <w:rFonts w:asciiTheme="minorHAnsi" w:hAnsiTheme="minorHAnsi" w:cstheme="minorHAnsi"/>
                <w:bCs/>
                <w:lang w:val="en-US"/>
              </w:rPr>
              <w:t>Option 1: ML = MGL – 2*RRT</w:t>
            </w:r>
          </w:p>
          <w:p>
            <w:pPr>
              <w:keepNext w:val="0"/>
              <w:keepLines w:val="0"/>
              <w:pageBreakBefore w:val="0"/>
              <w:widowControl w:val="0"/>
              <w:numPr>
                <w:ilvl w:val="1"/>
                <w:numId w:val="10"/>
              </w:numPr>
              <w:kinsoku/>
              <w:wordWrap/>
              <w:topLinePunct w:val="0"/>
              <w:bidi w:val="0"/>
              <w:snapToGrid/>
              <w:jc w:val="both"/>
              <w:rPr>
                <w:rFonts w:asciiTheme="minorHAnsi" w:hAnsiTheme="minorHAnsi" w:cstheme="minorHAnsi"/>
                <w:bCs/>
              </w:rPr>
            </w:pPr>
            <w:r>
              <w:rPr>
                <w:rFonts w:asciiTheme="minorHAnsi" w:hAnsiTheme="minorHAnsi" w:cstheme="minorHAnsi"/>
                <w:bCs/>
                <w:lang w:val="en-US"/>
              </w:rPr>
              <w:t>Option 1a: ML = MGL – 2*RRT and ML + VIL1 + VIL2 &gt; MGL</w:t>
            </w:r>
          </w:p>
          <w:p>
            <w:pPr>
              <w:keepNext w:val="0"/>
              <w:keepLines w:val="0"/>
              <w:pageBreakBefore w:val="0"/>
              <w:widowControl w:val="0"/>
              <w:numPr>
                <w:ilvl w:val="1"/>
                <w:numId w:val="10"/>
              </w:numPr>
              <w:kinsoku/>
              <w:wordWrap/>
              <w:topLinePunct w:val="0"/>
              <w:bidi w:val="0"/>
              <w:snapToGrid/>
              <w:jc w:val="both"/>
              <w:rPr>
                <w:rFonts w:asciiTheme="minorHAnsi" w:hAnsiTheme="minorHAnsi" w:cstheme="minorHAnsi"/>
                <w:bCs/>
              </w:rPr>
            </w:pPr>
            <w:r>
              <w:rPr>
                <w:rFonts w:asciiTheme="minorHAnsi" w:hAnsiTheme="minorHAnsi" w:cstheme="minorHAnsi"/>
                <w:bCs/>
                <w:lang w:val="en-US"/>
              </w:rPr>
              <w:t xml:space="preserve">Option 1b: ML = MGL – 2*RRT and ML + VIL1 + VIL2 &gt; MGL, </w:t>
            </w:r>
            <w:r>
              <w:rPr>
                <w:rFonts w:asciiTheme="minorHAnsi" w:hAnsiTheme="minorHAnsi" w:cstheme="minorHAnsi"/>
                <w:bCs/>
              </w:rPr>
              <w:t>if VIL is defined as the number of interrupted slots</w:t>
            </w:r>
          </w:p>
          <w:p>
            <w:pPr>
              <w:keepNext w:val="0"/>
              <w:keepLines w:val="0"/>
              <w:pageBreakBefore w:val="0"/>
              <w:widowControl w:val="0"/>
              <w:numPr>
                <w:ilvl w:val="1"/>
                <w:numId w:val="10"/>
              </w:numPr>
              <w:kinsoku/>
              <w:wordWrap/>
              <w:topLinePunct w:val="0"/>
              <w:bidi w:val="0"/>
              <w:snapToGrid/>
              <w:jc w:val="both"/>
              <w:rPr>
                <w:rFonts w:asciiTheme="minorHAnsi" w:hAnsiTheme="minorHAnsi" w:cstheme="minorHAnsi"/>
                <w:bCs/>
                <w:lang w:val="sv-SE"/>
              </w:rPr>
            </w:pPr>
            <w:r>
              <w:rPr>
                <w:rFonts w:asciiTheme="minorHAnsi" w:hAnsiTheme="minorHAnsi" w:cstheme="minorHAnsi"/>
                <w:bCs/>
                <w:lang w:val="sv-SE"/>
              </w:rPr>
              <w:t>Option 1c: ML = MGL - RRT1 - RRT2</w:t>
            </w:r>
          </w:p>
          <w:p>
            <w:pPr>
              <w:keepNext w:val="0"/>
              <w:keepLines w:val="0"/>
              <w:pageBreakBefore w:val="0"/>
              <w:widowControl w:val="0"/>
              <w:numPr>
                <w:ilvl w:val="0"/>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 xml:space="preserve">Option 2: </w:t>
            </w:r>
            <w:r>
              <w:rPr>
                <w:rFonts w:asciiTheme="minorHAnsi" w:hAnsiTheme="minorHAnsi" w:cstheme="minorHAnsi"/>
                <w:bCs/>
                <w:lang w:val="en-US"/>
              </w:rPr>
              <w:t>ML + VIL1 + VIL2 = MGL</w:t>
            </w:r>
          </w:p>
          <w:p>
            <w:pPr>
              <w:keepNext w:val="0"/>
              <w:keepLines w:val="0"/>
              <w:pageBreakBefore w:val="0"/>
              <w:widowControl w:val="0"/>
              <w:numPr>
                <w:ilvl w:val="1"/>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 xml:space="preserve">Option 2a: ML = MGL – VIL1 – VIL2, if VIL is defined as the absolute time </w:t>
            </w:r>
          </w:p>
          <w:p>
            <w:pPr>
              <w:keepNext w:val="0"/>
              <w:keepLines w:val="0"/>
              <w:pageBreakBefore w:val="0"/>
              <w:widowControl w:val="0"/>
              <w:numPr>
                <w:ilvl w:val="0"/>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Option 3:</w:t>
            </w:r>
          </w:p>
          <w:p>
            <w:pPr>
              <w:keepNext w:val="0"/>
              <w:keepLines w:val="0"/>
              <w:pageBreakBefore w:val="0"/>
              <w:widowControl w:val="0"/>
              <w:numPr>
                <w:ilvl w:val="1"/>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 xml:space="preserve">Step 1: </w:t>
            </w:r>
            <w:r>
              <w:rPr>
                <w:rFonts w:asciiTheme="minorHAnsi" w:hAnsiTheme="minorHAnsi" w:cstheme="minorHAnsi"/>
                <w:b/>
                <w:bCs/>
              </w:rPr>
              <w:t>Define ML</w:t>
            </w:r>
            <w:r>
              <w:rPr>
                <w:rFonts w:asciiTheme="minorHAnsi" w:hAnsiTheme="minorHAnsi" w:cstheme="minorHAnsi"/>
                <w:bCs/>
                <w:vertAlign w:val="subscript"/>
              </w:rPr>
              <w:t>NCSG</w:t>
            </w:r>
            <w:r>
              <w:rPr>
                <w:rFonts w:asciiTheme="minorHAnsi" w:hAnsiTheme="minorHAnsi" w:cstheme="minorHAnsi"/>
                <w:bCs/>
              </w:rPr>
              <w:t xml:space="preserve"> from legacy gap patterns by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2*RRT</w:t>
            </w:r>
            <w:r>
              <w:rPr>
                <w:rFonts w:asciiTheme="minorHAnsi" w:hAnsiTheme="minorHAnsi" w:cstheme="minorHAnsi"/>
                <w:bCs/>
                <w:vertAlign w:val="subscript"/>
              </w:rPr>
              <w:t>legacy</w:t>
            </w:r>
            <w:r>
              <w:rPr>
                <w:rFonts w:asciiTheme="minorHAnsi" w:hAnsiTheme="minorHAnsi" w:cstheme="minorHAnsi"/>
                <w:bCs/>
              </w:rPr>
              <w:t>, e.g.,</w:t>
            </w:r>
          </w:p>
          <w:p>
            <w:pPr>
              <w:keepNext w:val="0"/>
              <w:keepLines w:val="0"/>
              <w:pageBreakBefore w:val="0"/>
              <w:widowControl w:val="0"/>
              <w:numPr>
                <w:ilvl w:val="2"/>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Gap patterns 0-11: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1 (ms)</w:t>
            </w:r>
          </w:p>
          <w:p>
            <w:pPr>
              <w:keepNext w:val="0"/>
              <w:keepLines w:val="0"/>
              <w:pageBreakBefore w:val="0"/>
              <w:widowControl w:val="0"/>
              <w:numPr>
                <w:ilvl w:val="2"/>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Gap patterns 12-23: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0.5 (ms)</w:t>
            </w:r>
          </w:p>
          <w:p>
            <w:pPr>
              <w:keepNext w:val="0"/>
              <w:keepLines w:val="0"/>
              <w:pageBreakBefore w:val="0"/>
              <w:widowControl w:val="0"/>
              <w:numPr>
                <w:ilvl w:val="1"/>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 xml:space="preserve">Step 2: </w:t>
            </w:r>
            <w:r>
              <w:rPr>
                <w:rFonts w:asciiTheme="minorHAnsi" w:hAnsiTheme="minorHAnsi" w:cstheme="minorHAnsi"/>
                <w:b/>
                <w:bCs/>
              </w:rPr>
              <w:t>Define RRT</w:t>
            </w:r>
            <w:r>
              <w:rPr>
                <w:rFonts w:asciiTheme="minorHAnsi" w:hAnsiTheme="minorHAnsi" w:cstheme="minorHAnsi"/>
                <w:b/>
                <w:bCs/>
                <w:vertAlign w:val="subscript"/>
              </w:rPr>
              <w:t>NCSG</w:t>
            </w:r>
            <w:r>
              <w:rPr>
                <w:rFonts w:asciiTheme="minorHAnsi" w:hAnsiTheme="minorHAnsi" w:cstheme="minorHAnsi"/>
                <w:bCs/>
              </w:rPr>
              <w:t xml:space="preserve"> before and after ML</w:t>
            </w:r>
            <w:r>
              <w:rPr>
                <w:rFonts w:asciiTheme="minorHAnsi" w:hAnsiTheme="minorHAnsi" w:cstheme="minorHAnsi"/>
                <w:bCs/>
                <w:vertAlign w:val="subscript"/>
              </w:rPr>
              <w:t>NCSG</w:t>
            </w:r>
            <w:r>
              <w:rPr>
                <w:rFonts w:asciiTheme="minorHAnsi" w:hAnsiTheme="minorHAnsi" w:cstheme="minorHAnsi"/>
                <w:bCs/>
              </w:rPr>
              <w:t xml:space="preserve"> in FR1 and FR2 </w:t>
            </w:r>
          </w:p>
          <w:p>
            <w:pPr>
              <w:keepNext w:val="0"/>
              <w:keepLines w:val="0"/>
              <w:pageBreakBefore w:val="0"/>
              <w:widowControl w:val="0"/>
              <w:numPr>
                <w:ilvl w:val="2"/>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Handled by Issue 3-5, e.g., same or longer than RRT</w:t>
            </w:r>
            <w:r>
              <w:rPr>
                <w:rFonts w:asciiTheme="minorHAnsi" w:hAnsiTheme="minorHAnsi" w:cstheme="minorHAnsi"/>
                <w:bCs/>
                <w:vertAlign w:val="subscript"/>
              </w:rPr>
              <w:t>legacy</w:t>
            </w:r>
            <w:r>
              <w:rPr>
                <w:rFonts w:asciiTheme="minorHAnsi" w:hAnsiTheme="minorHAnsi" w:cstheme="minorHAnsi"/>
                <w:bCs/>
              </w:rPr>
              <w:t>.</w:t>
            </w:r>
          </w:p>
          <w:p>
            <w:pPr>
              <w:keepNext w:val="0"/>
              <w:keepLines w:val="0"/>
              <w:pageBreakBefore w:val="0"/>
              <w:widowControl w:val="0"/>
              <w:numPr>
                <w:ilvl w:val="1"/>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 xml:space="preserve">Step 3: </w:t>
            </w:r>
            <w:r>
              <w:rPr>
                <w:rFonts w:asciiTheme="minorHAnsi" w:hAnsiTheme="minorHAnsi" w:cstheme="minorHAnsi"/>
                <w:b/>
                <w:bCs/>
              </w:rPr>
              <w:t>Define MGL</w:t>
            </w:r>
            <w:r>
              <w:rPr>
                <w:rFonts w:asciiTheme="minorHAnsi" w:hAnsiTheme="minorHAnsi" w:cstheme="minorHAnsi"/>
                <w:b/>
                <w:bCs/>
                <w:vertAlign w:val="subscript"/>
              </w:rPr>
              <w:t>NCSG</w:t>
            </w:r>
            <w:r>
              <w:rPr>
                <w:rFonts w:asciiTheme="minorHAnsi" w:hAnsiTheme="minorHAnsi" w:cstheme="minorHAnsi"/>
                <w:b/>
                <w:bCs/>
              </w:rPr>
              <w:t xml:space="preserve"> </w:t>
            </w:r>
            <w:r>
              <w:rPr>
                <w:rFonts w:asciiTheme="minorHAnsi" w:hAnsiTheme="minorHAnsi" w:cstheme="minorHAnsi"/>
                <w:bCs/>
              </w:rPr>
              <w:t>as ML</w:t>
            </w:r>
            <w:r>
              <w:rPr>
                <w:rFonts w:asciiTheme="minorHAnsi" w:hAnsiTheme="minorHAnsi" w:cstheme="minorHAnsi"/>
                <w:bCs/>
                <w:vertAlign w:val="subscript"/>
              </w:rPr>
              <w:t>NCSG</w:t>
            </w:r>
            <w:r>
              <w:rPr>
                <w:rFonts w:asciiTheme="minorHAnsi" w:hAnsiTheme="minorHAnsi" w:cstheme="minorHAnsi"/>
                <w:bCs/>
              </w:rPr>
              <w:t xml:space="preserve"> + 2* RRT</w:t>
            </w:r>
            <w:r>
              <w:rPr>
                <w:rFonts w:asciiTheme="minorHAnsi" w:hAnsiTheme="minorHAnsi" w:cstheme="minorHAnsi"/>
                <w:bCs/>
                <w:vertAlign w:val="subscript"/>
              </w:rPr>
              <w:t>NCSG</w:t>
            </w:r>
            <w:r>
              <w:rPr>
                <w:rFonts w:asciiTheme="minorHAnsi" w:hAnsiTheme="minorHAnsi" w:cstheme="minorHAnsi"/>
                <w:bCs/>
              </w:rPr>
              <w:t>.</w:t>
            </w:r>
          </w:p>
          <w:p>
            <w:pPr>
              <w:keepNext w:val="0"/>
              <w:keepLines w:val="0"/>
              <w:pageBreakBefore w:val="0"/>
              <w:widowControl w:val="0"/>
              <w:numPr>
                <w:ilvl w:val="1"/>
                <w:numId w:val="10"/>
              </w:numPr>
              <w:kinsoku/>
              <w:wordWrap/>
              <w:topLinePunct w:val="0"/>
              <w:bidi w:val="0"/>
              <w:snapToGrid/>
              <w:jc w:val="both"/>
              <w:rPr>
                <w:rFonts w:asciiTheme="minorHAnsi" w:hAnsiTheme="minorHAnsi" w:cstheme="minorHAnsi"/>
                <w:bCs/>
              </w:rPr>
            </w:pPr>
            <w:r>
              <w:rPr>
                <w:rFonts w:asciiTheme="minorHAnsi" w:hAnsiTheme="minorHAnsi" w:cstheme="minorHAnsi"/>
                <w:bCs/>
              </w:rPr>
              <w:t xml:space="preserve">Step 4: </w:t>
            </w:r>
            <w:r>
              <w:rPr>
                <w:rFonts w:asciiTheme="minorHAnsi" w:hAnsiTheme="minorHAnsi" w:cstheme="minorHAnsi"/>
                <w:b/>
                <w:bCs/>
              </w:rPr>
              <w:t>Define VIL</w:t>
            </w:r>
          </w:p>
          <w:p>
            <w:pPr>
              <w:keepNext w:val="0"/>
              <w:keepLines w:val="0"/>
              <w:pageBreakBefore w:val="0"/>
              <w:widowControl w:val="0"/>
              <w:numPr>
                <w:ilvl w:val="2"/>
                <w:numId w:val="10"/>
              </w:numPr>
              <w:kinsoku/>
              <w:wordWrap/>
              <w:topLinePunct w:val="0"/>
              <w:bidi w:val="0"/>
              <w:snapToGrid/>
              <w:jc w:val="both"/>
              <w:rPr>
                <w:rFonts w:hint="eastAsia"/>
                <w:vertAlign w:val="baseline"/>
                <w:lang w:val="en-US" w:eastAsia="zh-CN"/>
              </w:rPr>
            </w:pPr>
            <w:r>
              <w:rPr>
                <w:rFonts w:asciiTheme="minorHAnsi" w:hAnsiTheme="minorHAnsi" w:cstheme="minorHAnsi"/>
                <w:bCs/>
              </w:rPr>
              <w:t>Handled by Issue 3-4</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Considering the VIL should be defined separately with NCSG pattern, then the ML should contain 2*RRT and MGL. Between all the given options, we believe Option 3 is more appropriate. So we prefer Option 3.  </w:t>
      </w:r>
    </w:p>
    <w:p>
      <w:pPr>
        <w:rPr>
          <w:rFonts w:hint="default"/>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10</w:t>
      </w:r>
      <w:r>
        <w:rPr>
          <w:rFonts w:hint="eastAsia" w:ascii="Times New Roman" w:hAnsi="Times New Roman" w:eastAsia="宋体" w:cs="Times New Roman"/>
          <w:b/>
          <w:bCs/>
          <w:color w:val="auto"/>
          <w:sz w:val="21"/>
          <w:szCs w:val="21"/>
          <w:highlight w:val="none"/>
          <w:lang w:val="en-US" w:eastAsia="zh-CN" w:bidi="ar-SA"/>
        </w:rPr>
        <w:t>:</w:t>
      </w:r>
      <w:r>
        <w:rPr>
          <w:rFonts w:hint="eastAsia"/>
          <w:b/>
          <w:bCs/>
          <w:lang w:val="en-US" w:eastAsia="zh-CN"/>
        </w:rPr>
        <w:t xml:space="preserve"> Option 3 is preferred by us, i.e. </w:t>
      </w:r>
      <w:r>
        <w:rPr>
          <w:rFonts w:asciiTheme="minorHAnsi" w:hAnsiTheme="minorHAnsi" w:cstheme="minorHAnsi"/>
          <w:b/>
          <w:bCs/>
        </w:rPr>
        <w:t>Define MGL</w:t>
      </w:r>
      <w:r>
        <w:rPr>
          <w:rFonts w:asciiTheme="minorHAnsi" w:hAnsiTheme="minorHAnsi" w:cstheme="minorHAnsi"/>
          <w:b/>
          <w:bCs/>
          <w:vertAlign w:val="subscript"/>
        </w:rPr>
        <w:t>NCSG</w:t>
      </w:r>
      <w:r>
        <w:rPr>
          <w:rFonts w:asciiTheme="minorHAnsi" w:hAnsiTheme="minorHAnsi" w:cstheme="minorHAnsi"/>
          <w:b/>
          <w:bCs/>
        </w:rPr>
        <w:t xml:space="preserve"> </w:t>
      </w:r>
      <w:r>
        <w:rPr>
          <w:rFonts w:asciiTheme="minorHAnsi" w:hAnsiTheme="minorHAnsi" w:cstheme="minorHAnsi"/>
          <w:bCs/>
        </w:rPr>
        <w:t>as ML</w:t>
      </w:r>
      <w:r>
        <w:rPr>
          <w:rFonts w:asciiTheme="minorHAnsi" w:hAnsiTheme="minorHAnsi" w:cstheme="minorHAnsi"/>
          <w:bCs/>
          <w:vertAlign w:val="subscript"/>
        </w:rPr>
        <w:t>NCSG</w:t>
      </w:r>
      <w:r>
        <w:rPr>
          <w:rFonts w:asciiTheme="minorHAnsi" w:hAnsiTheme="minorHAnsi" w:cstheme="minorHAnsi"/>
          <w:bCs/>
        </w:rPr>
        <w:t xml:space="preserve"> + 2* RRT</w:t>
      </w:r>
      <w:r>
        <w:rPr>
          <w:rFonts w:asciiTheme="minorHAnsi" w:hAnsiTheme="minorHAnsi" w:cstheme="minorHAnsi"/>
          <w:bCs/>
          <w:vertAlign w:val="subscript"/>
        </w:rPr>
        <w:t>NCSG</w:t>
      </w:r>
      <w:r>
        <w:rPr>
          <w:rFonts w:asciiTheme="minorHAnsi" w:hAnsiTheme="minorHAnsi" w:cstheme="minorHAnsi"/>
          <w:bCs/>
        </w:rPr>
        <w:t>.</w:t>
      </w:r>
      <w:r>
        <w:rPr>
          <w:rFonts w:hint="eastAsia"/>
          <w:b/>
          <w:bCs/>
          <w:lang w:val="en-US" w:eastAsia="zh-CN"/>
        </w:rPr>
        <w:t xml:space="preserve"> which is more appropriate. </w:t>
      </w:r>
    </w:p>
    <w:p>
      <w:pPr>
        <w:pStyle w:val="4"/>
        <w:bidi w:val="0"/>
        <w:rPr>
          <w:rFonts w:hint="eastAsia"/>
          <w:lang w:val="en-US" w:eastAsia="zh-CN"/>
        </w:rPr>
      </w:pPr>
      <w:r>
        <w:rPr>
          <w:rFonts w:hint="eastAsia" w:ascii="Helvetica" w:hAnsi="Helvetica" w:eastAsia="宋体" w:cs="Times New Roman"/>
          <w:b/>
          <w:bCs/>
          <w:color w:val="auto"/>
          <w:kern w:val="32"/>
          <w:sz w:val="28"/>
          <w:szCs w:val="32"/>
          <w:lang w:val="en-US" w:eastAsia="zh-CN" w:bidi="ar-SA"/>
        </w:rPr>
        <w:t>2.3.3 UL slot after VIL1</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How to address the UL slot immediately after VIL1 in the interruption requirements, which is still open. Firstly we believe discussing such issue is meaningful. Since the existence of TA for UL transmission, for the UL slot immediately following VIL, actually UE can not transmit UL transmission. In Rel 15/16 legacy MG, such issue is up to UE implementation, it is described in [2] as </w:t>
      </w:r>
      <w:r>
        <w:rPr>
          <w:rFonts w:hint="default" w:eastAsia="宋体"/>
          <w:color w:val="auto"/>
          <w:sz w:val="21"/>
          <w:szCs w:val="21"/>
          <w:lang w:val="en-US" w:eastAsia="zh-CN"/>
        </w:rPr>
        <w:t>“</w:t>
      </w:r>
      <w:r>
        <w:rPr>
          <w:rFonts w:hint="eastAsia" w:eastAsia="宋体"/>
          <w:color w:val="auto"/>
          <w:sz w:val="21"/>
          <w:szCs w:val="21"/>
          <w:lang w:val="en-US" w:eastAsia="zh-CN"/>
        </w:rPr>
        <w:t>whether to transmit in the L UL slots immediately after MG is up to UE implementation. For LTE NCSG, the VIL2 is defined to be 1 subframe larger in UL than in DL for sync case</w:t>
      </w:r>
      <w:r>
        <w:rPr>
          <w:rFonts w:hint="default" w:eastAsia="宋体"/>
          <w:color w:val="auto"/>
          <w:sz w:val="21"/>
          <w:szCs w:val="21"/>
          <w:lang w:val="en-US" w:eastAsia="zh-CN"/>
        </w:rPr>
        <w:t>”</w:t>
      </w:r>
      <w:r>
        <w:rPr>
          <w:rFonts w:hint="eastAsia" w:eastAsia="宋体"/>
          <w:color w:val="auto"/>
          <w:sz w:val="21"/>
          <w:szCs w:val="21"/>
          <w:lang w:val="en-US" w:eastAsia="zh-CN"/>
        </w:rPr>
        <w:t xml:space="preserve">. </w:t>
      </w:r>
    </w:p>
    <w:p>
      <w:pPr>
        <w:pStyle w:val="7"/>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In our opinion, it will be better if such issue can be specified. And another related issue is that whether MGTA is supported by NCSG. Considering it was agreed in [3] that requirements related to MGTA and impact to UL transmission follow Rel-15, we suppose MGTA is supported in NCSG, so when we consider the handling of the UL slot immediately after VIL1, the assumption of MGTA existence should be noted.</w:t>
      </w:r>
    </w:p>
    <w:p>
      <w:pPr>
        <w:pStyle w:val="3"/>
        <w:bidi w:val="0"/>
        <w:rPr>
          <w:rFonts w:hint="eastAsia"/>
          <w:color w:val="auto"/>
          <w:sz w:val="28"/>
          <w:szCs w:val="28"/>
          <w:lang w:val="en-US" w:eastAsia="zh-CN"/>
        </w:rPr>
      </w:pPr>
      <w:r>
        <w:rPr>
          <w:rFonts w:hint="eastAsia"/>
          <w:color w:val="auto"/>
          <w:sz w:val="28"/>
          <w:szCs w:val="28"/>
          <w:lang w:val="en-US" w:eastAsia="zh-CN"/>
        </w:rPr>
        <w:t>2.4 UE capability and network configuration of NCSG</w:t>
      </w: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2.4.1 Whether additional NCSG capability for per-UE and per-FR differentiation is needed on top of existing per-UE and per-FR capability</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the following options were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0"/>
              </w:numPr>
              <w:kinsoku/>
              <w:wordWrap/>
              <w:overflowPunct w:val="0"/>
              <w:topLinePunct w:val="0"/>
              <w:autoSpaceDE w:val="0"/>
              <w:autoSpaceDN w:val="0"/>
              <w:bidi w:val="0"/>
              <w:adjustRightInd w:val="0"/>
              <w:snapToGrid/>
              <w:spacing w:after="0"/>
              <w:jc w:val="both"/>
              <w:textAlignment w:val="baseline"/>
              <w:rPr>
                <w:rFonts w:asciiTheme="minorHAnsi" w:hAnsiTheme="minorHAnsi" w:cstheme="minorHAnsi"/>
                <w:bCs/>
              </w:rPr>
            </w:pPr>
            <w:r>
              <w:rPr>
                <w:rFonts w:asciiTheme="minorHAnsi" w:hAnsiTheme="minorHAnsi" w:cstheme="minorHAnsi"/>
                <w:bCs/>
              </w:rPr>
              <w:t>Open issues:</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eastAsia"/>
                <w:vertAlign w:val="baseline"/>
                <w:lang w:val="en-US" w:eastAsia="zh-CN"/>
              </w:rPr>
            </w:pPr>
            <w:r>
              <w:rPr>
                <w:rFonts w:eastAsia="宋体" w:asciiTheme="minorHAnsi" w:hAnsiTheme="minorHAnsi" w:cstheme="minorHAnsi"/>
                <w:bCs/>
                <w:iCs/>
                <w:lang w:eastAsia="zh-CN"/>
              </w:rPr>
              <w:t>Option 1: no.</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eastAsia"/>
                <w:vertAlign w:val="baseline"/>
                <w:lang w:val="en-US" w:eastAsia="zh-CN"/>
              </w:rPr>
            </w:pPr>
            <w:r>
              <w:rPr>
                <w:rFonts w:eastAsia="宋体" w:asciiTheme="minorHAnsi" w:hAnsiTheme="minorHAnsi" w:cstheme="minorHAnsi"/>
                <w:bCs/>
                <w:iCs/>
                <w:lang w:eastAsia="zh-CN"/>
              </w:rPr>
              <w:t>Option 2: yes. Introduce per BC indication of per FR NCSG in Rel-17.</w:t>
            </w:r>
            <w:r>
              <w:rPr>
                <w:rFonts w:eastAsia="宋体" w:asciiTheme="minorHAnsi" w:hAnsiTheme="minorHAnsi" w:cstheme="minorHAnsi"/>
                <w:b/>
                <w:bCs/>
                <w:iCs/>
                <w:lang w:eastAsia="zh-CN"/>
              </w:rPr>
              <w:t xml:space="preserve"> </w:t>
            </w:r>
            <w:r>
              <w:rPr>
                <w:rFonts w:eastAsia="宋体" w:asciiTheme="minorHAnsi" w:hAnsiTheme="minorHAnsi" w:cstheme="minorHAnsi"/>
                <w:bCs/>
                <w:iCs/>
                <w:lang w:eastAsia="zh-CN"/>
              </w:rPr>
              <w:t>The discussion can be postponed till progress is made towards per BC indication for per FR UE capability.</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We prefer Option 1. Since we think this issue is whether the per-UE/per-FR capability is introduced for NCSG, not further per-BC capability on the top of per-UE/per-FR NCSG. For Option 2, the benefit of per BC indication of per-FR NCSG needs to be further elaborated, given the higher complexity and signalling effort.</w:t>
      </w:r>
    </w:p>
    <w:p>
      <w:pPr>
        <w:rPr>
          <w:rFonts w:hint="default"/>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11</w:t>
      </w:r>
      <w:r>
        <w:rPr>
          <w:rFonts w:hint="eastAsia" w:ascii="Times New Roman" w:hAnsi="Times New Roman" w:eastAsia="宋体" w:cs="Times New Roman"/>
          <w:b/>
          <w:bCs/>
          <w:color w:val="auto"/>
          <w:sz w:val="21"/>
          <w:szCs w:val="21"/>
          <w:highlight w:val="none"/>
          <w:lang w:val="en-US" w:eastAsia="zh-CN" w:bidi="ar-SA"/>
        </w:rPr>
        <w:t>:</w:t>
      </w:r>
      <w:r>
        <w:rPr>
          <w:rFonts w:hint="eastAsia"/>
          <w:b/>
          <w:bCs/>
          <w:lang w:val="en-US" w:eastAsia="zh-CN"/>
        </w:rPr>
        <w:t xml:space="preserve"> No additional NCSG capability for per-UE and per-FR differentiation is needed.</w:t>
      </w: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2.4.2 How to indicate the support of NCSG pattern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the following options were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0"/>
              </w:numPr>
              <w:kinsoku/>
              <w:wordWrap/>
              <w:overflowPunct w:val="0"/>
              <w:topLinePunct w:val="0"/>
              <w:autoSpaceDE w:val="0"/>
              <w:autoSpaceDN w:val="0"/>
              <w:bidi w:val="0"/>
              <w:adjustRightInd w:val="0"/>
              <w:snapToGrid/>
              <w:spacing w:after="0"/>
              <w:jc w:val="both"/>
              <w:textAlignment w:val="baseline"/>
              <w:rPr>
                <w:rFonts w:asciiTheme="minorHAnsi" w:hAnsiTheme="minorHAnsi" w:cstheme="minorHAnsi"/>
                <w:bCs/>
              </w:rPr>
            </w:pPr>
            <w:r>
              <w:rPr>
                <w:rFonts w:asciiTheme="minorHAnsi" w:hAnsiTheme="minorHAnsi" w:cstheme="minorHAnsi"/>
                <w:bCs/>
              </w:rPr>
              <w:t>Open issues:</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lang w:eastAsia="zh-CN"/>
              </w:rPr>
            </w:pPr>
            <w:r>
              <w:rPr>
                <w:rFonts w:eastAsia="宋体" w:asciiTheme="minorHAnsi" w:hAnsiTheme="minorHAnsi" w:cstheme="minorHAnsi"/>
                <w:bCs/>
                <w:iCs/>
                <w:lang w:eastAsia="zh-CN"/>
              </w:rPr>
              <w:t>Option 1: introduce new signalling (separately from NeedForGap) to indicate support of NCSG.</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 xml:space="preserve">Option 2: introduce new element in </w:t>
            </w:r>
            <w:bookmarkStart w:id="4" w:name="OLE_LINK19"/>
            <w:r>
              <w:rPr>
                <w:rFonts w:eastAsia="宋体" w:asciiTheme="minorHAnsi" w:hAnsiTheme="minorHAnsi" w:cstheme="minorHAnsi"/>
                <w:bCs/>
                <w:iCs/>
                <w:lang w:eastAsia="zh-CN"/>
              </w:rPr>
              <w:t>NeedForGap</w:t>
            </w:r>
            <w:bookmarkEnd w:id="4"/>
            <w:r>
              <w:rPr>
                <w:rFonts w:eastAsia="宋体" w:asciiTheme="minorHAnsi" w:hAnsiTheme="minorHAnsi" w:cstheme="minorHAnsi"/>
                <w:bCs/>
                <w:iCs/>
                <w:lang w:eastAsia="zh-CN"/>
              </w:rPr>
              <w:t xml:space="preserve"> to indicate support of NCSG.</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Option 3: introduce new signalling (separately from NeedForGap) to indicate support of following cases</w:t>
            </w:r>
          </w:p>
          <w:p>
            <w:pPr>
              <w:pStyle w:val="26"/>
              <w:keepNext w:val="0"/>
              <w:keepLines w:val="0"/>
              <w:pageBreakBefore w:val="0"/>
              <w:widowControl w:val="0"/>
              <w:numPr>
                <w:ilvl w:val="1"/>
                <w:numId w:val="4"/>
              </w:numPr>
              <w:kinsoku/>
              <w:wordWrap/>
              <w:overflowPunct w:val="0"/>
              <w:topLinePunct w:val="0"/>
              <w:autoSpaceDE w:val="0"/>
              <w:autoSpaceDN w:val="0"/>
              <w:bidi w:val="0"/>
              <w:adjustRightInd w:val="0"/>
              <w:snapToGrid/>
              <w:spacing w:after="0"/>
              <w:ind w:left="96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 xml:space="preserve">Case 1: gap </w:t>
            </w:r>
          </w:p>
          <w:p>
            <w:pPr>
              <w:pStyle w:val="26"/>
              <w:keepNext w:val="0"/>
              <w:keepLines w:val="0"/>
              <w:pageBreakBefore w:val="0"/>
              <w:widowControl w:val="0"/>
              <w:numPr>
                <w:ilvl w:val="1"/>
                <w:numId w:val="4"/>
              </w:numPr>
              <w:kinsoku/>
              <w:wordWrap/>
              <w:overflowPunct w:val="0"/>
              <w:topLinePunct w:val="0"/>
              <w:autoSpaceDE w:val="0"/>
              <w:autoSpaceDN w:val="0"/>
              <w:bidi w:val="0"/>
              <w:adjustRightInd w:val="0"/>
              <w:snapToGrid/>
              <w:spacing w:after="0"/>
              <w:ind w:left="96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Case 2: no-gap-with-interruption (or NCSG)</w:t>
            </w:r>
          </w:p>
          <w:p>
            <w:pPr>
              <w:pStyle w:val="26"/>
              <w:keepNext w:val="0"/>
              <w:keepLines w:val="0"/>
              <w:pageBreakBefore w:val="0"/>
              <w:widowControl w:val="0"/>
              <w:numPr>
                <w:ilvl w:val="1"/>
                <w:numId w:val="4"/>
              </w:numPr>
              <w:kinsoku/>
              <w:wordWrap/>
              <w:overflowPunct w:val="0"/>
              <w:topLinePunct w:val="0"/>
              <w:autoSpaceDE w:val="0"/>
              <w:autoSpaceDN w:val="0"/>
              <w:bidi w:val="0"/>
              <w:adjustRightInd w:val="0"/>
              <w:snapToGrid/>
              <w:spacing w:after="0"/>
              <w:ind w:left="96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Case 3: no-gap-no-interruption</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eastAsia"/>
                <w:vertAlign w:val="baseline"/>
                <w:lang w:val="en-US" w:eastAsia="zh-CN"/>
              </w:rPr>
            </w:pPr>
            <w:r>
              <w:rPr>
                <w:rFonts w:eastAsia="宋体" w:asciiTheme="minorHAnsi" w:hAnsiTheme="minorHAnsi" w:cstheme="minorHAnsi"/>
                <w:bCs/>
                <w:iCs/>
                <w:lang w:eastAsia="zh-CN"/>
              </w:rPr>
              <w:t>Option 4: up to RAN2.</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We believe this issue should be related with the issue discussed in section 2.1.2. In section 2.1.2, three types of UE capability are provided: Gap, no-gap-with-interruption and no-gap-no-interruption. Whether this solution is independent of </w:t>
      </w:r>
      <w:r>
        <w:rPr>
          <w:rFonts w:hint="default" w:eastAsia="宋体"/>
          <w:color w:val="auto"/>
          <w:sz w:val="21"/>
          <w:szCs w:val="21"/>
          <w:lang w:val="en-US" w:eastAsia="zh-CN"/>
        </w:rPr>
        <w:t>‘</w:t>
      </w:r>
      <w:r>
        <w:rPr>
          <w:rFonts w:hint="eastAsia" w:eastAsia="宋体"/>
          <w:color w:val="auto"/>
          <w:sz w:val="21"/>
          <w:szCs w:val="21"/>
          <w:lang w:val="en-US" w:eastAsia="zh-CN"/>
        </w:rPr>
        <w:t>NeedForGap</w:t>
      </w:r>
      <w:r>
        <w:rPr>
          <w:rFonts w:hint="default" w:eastAsia="宋体"/>
          <w:color w:val="auto"/>
          <w:sz w:val="21"/>
          <w:szCs w:val="21"/>
          <w:lang w:val="en-US" w:eastAsia="zh-CN"/>
        </w:rPr>
        <w:t>’</w:t>
      </w:r>
      <w:r>
        <w:rPr>
          <w:rFonts w:hint="eastAsia" w:eastAsia="宋体"/>
          <w:color w:val="auto"/>
          <w:sz w:val="21"/>
          <w:szCs w:val="21"/>
          <w:lang w:val="en-US" w:eastAsia="zh-CN"/>
        </w:rPr>
        <w:t xml:space="preserve"> or as new element introduced based on </w:t>
      </w:r>
      <w:r>
        <w:rPr>
          <w:rFonts w:hint="default" w:eastAsia="宋体"/>
          <w:color w:val="auto"/>
          <w:sz w:val="21"/>
          <w:szCs w:val="21"/>
          <w:lang w:val="en-US" w:eastAsia="zh-CN"/>
        </w:rPr>
        <w:t>‘</w:t>
      </w:r>
      <w:r>
        <w:rPr>
          <w:rFonts w:hint="eastAsia" w:eastAsia="宋体"/>
          <w:color w:val="auto"/>
          <w:sz w:val="21"/>
          <w:szCs w:val="21"/>
          <w:lang w:val="en-US" w:eastAsia="zh-CN"/>
        </w:rPr>
        <w:t>NeedForGap</w:t>
      </w:r>
      <w:r>
        <w:rPr>
          <w:rFonts w:hint="default" w:eastAsia="宋体"/>
          <w:color w:val="auto"/>
          <w:sz w:val="21"/>
          <w:szCs w:val="21"/>
          <w:lang w:val="en-US" w:eastAsia="zh-CN"/>
        </w:rPr>
        <w:t>’</w:t>
      </w:r>
      <w:r>
        <w:rPr>
          <w:rFonts w:hint="eastAsia" w:eastAsia="宋体"/>
          <w:color w:val="auto"/>
          <w:sz w:val="21"/>
          <w:szCs w:val="21"/>
          <w:lang w:val="en-US" w:eastAsia="zh-CN"/>
        </w:rPr>
        <w:t>, which needs to be discussed firstly.</w:t>
      </w:r>
      <w:r>
        <w:rPr>
          <w:rFonts w:hint="eastAsia" w:eastAsia="宋体"/>
          <w:color w:val="auto"/>
          <w:sz w:val="21"/>
          <w:szCs w:val="21"/>
          <w:lang w:val="en-US" w:eastAsia="zh-CN"/>
        </w:rPr>
        <w:br w:type="textWrapping"/>
      </w:r>
      <w:r>
        <w:rPr>
          <w:rFonts w:hint="eastAsia" w:eastAsia="宋体"/>
          <w:color w:val="auto"/>
          <w:sz w:val="21"/>
          <w:szCs w:val="21"/>
          <w:lang w:val="en-US" w:eastAsia="zh-CN"/>
        </w:rPr>
        <w:t>In LTE, the UE needs to indicate whether it supports the 'no gap' measurement capability respectively for all the supported inter-band CA combinations. Taking the band x+band y combination as an example, the UE needs to indicate whether to support RRM measurement on y without gap when the serving cell is x. This capability indication is a more detailed capability indication under the per-UE/per-FR capability indication.</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R</w:t>
      </w:r>
      <w:r>
        <w:rPr>
          <w:rFonts w:hint="eastAsia" w:eastAsia="宋体"/>
          <w:color w:val="auto"/>
          <w:sz w:val="21"/>
          <w:szCs w:val="21"/>
          <w:lang w:val="en-US" w:eastAsia="zh-CN"/>
        </w:rPr>
        <w:t>el-</w:t>
      </w:r>
      <w:r>
        <w:rPr>
          <w:rFonts w:hint="default" w:eastAsia="宋体"/>
          <w:color w:val="auto"/>
          <w:sz w:val="21"/>
          <w:szCs w:val="21"/>
          <w:lang w:val="en-US" w:eastAsia="zh-CN"/>
        </w:rPr>
        <w:t xml:space="preserve">16 has introduced the 'NeedForGap' mechanism, which further optimizes the LTE mechanism and can indicate more information. </w:t>
      </w:r>
      <w:r>
        <w:rPr>
          <w:rFonts w:hint="eastAsia" w:eastAsia="宋体"/>
          <w:color w:val="auto"/>
          <w:sz w:val="21"/>
          <w:szCs w:val="21"/>
          <w:lang w:val="en-US" w:eastAsia="zh-CN"/>
        </w:rPr>
        <w:t xml:space="preserve">Especially when the serving cell or MO is reconfigured through RRC signalling, the UE only needs to update the </w:t>
      </w:r>
      <w:r>
        <w:rPr>
          <w:rFonts w:hint="default" w:eastAsia="宋体"/>
          <w:color w:val="auto"/>
          <w:sz w:val="21"/>
          <w:szCs w:val="21"/>
          <w:lang w:val="en-US" w:eastAsia="zh-CN"/>
        </w:rPr>
        <w:t>‘</w:t>
      </w:r>
      <w:r>
        <w:rPr>
          <w:rFonts w:hint="eastAsia" w:eastAsia="宋体"/>
          <w:color w:val="auto"/>
          <w:sz w:val="21"/>
          <w:szCs w:val="21"/>
          <w:lang w:val="en-US" w:eastAsia="zh-CN"/>
        </w:rPr>
        <w:t>no gap</w:t>
      </w:r>
      <w:r>
        <w:rPr>
          <w:rFonts w:hint="default" w:eastAsia="宋体"/>
          <w:color w:val="auto"/>
          <w:sz w:val="21"/>
          <w:szCs w:val="21"/>
          <w:lang w:val="en-US" w:eastAsia="zh-CN"/>
        </w:rPr>
        <w:t>’</w:t>
      </w:r>
      <w:r>
        <w:rPr>
          <w:rFonts w:hint="eastAsia" w:eastAsia="宋体"/>
          <w:color w:val="auto"/>
          <w:sz w:val="21"/>
          <w:szCs w:val="21"/>
          <w:lang w:val="en-US" w:eastAsia="zh-CN"/>
        </w:rPr>
        <w:t>/</w:t>
      </w:r>
      <w:r>
        <w:rPr>
          <w:rFonts w:hint="default" w:eastAsia="宋体"/>
          <w:color w:val="auto"/>
          <w:sz w:val="21"/>
          <w:szCs w:val="21"/>
          <w:lang w:val="en-US" w:eastAsia="zh-CN"/>
        </w:rPr>
        <w:t>’</w:t>
      </w:r>
      <w:r>
        <w:rPr>
          <w:rFonts w:hint="eastAsia" w:eastAsia="宋体"/>
          <w:color w:val="auto"/>
          <w:sz w:val="21"/>
          <w:szCs w:val="21"/>
          <w:lang w:val="en-US" w:eastAsia="zh-CN"/>
        </w:rPr>
        <w:t>gap</w:t>
      </w:r>
      <w:r>
        <w:rPr>
          <w:rFonts w:hint="default" w:eastAsia="宋体"/>
          <w:color w:val="auto"/>
          <w:sz w:val="21"/>
          <w:szCs w:val="21"/>
          <w:lang w:val="en-US" w:eastAsia="zh-CN"/>
        </w:rPr>
        <w:t>’</w:t>
      </w:r>
      <w:r>
        <w:rPr>
          <w:rFonts w:hint="eastAsia" w:eastAsia="宋体"/>
          <w:color w:val="auto"/>
          <w:sz w:val="21"/>
          <w:szCs w:val="21"/>
          <w:lang w:val="en-US" w:eastAsia="zh-CN"/>
        </w:rPr>
        <w:t xml:space="preserve"> capability on the reconfigured MO under the serving cell. </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Therefore, we still think it is better to extend the </w:t>
      </w:r>
      <w:r>
        <w:rPr>
          <w:rFonts w:hint="default" w:eastAsia="宋体"/>
          <w:color w:val="auto"/>
          <w:sz w:val="21"/>
          <w:szCs w:val="21"/>
          <w:lang w:val="en-US" w:eastAsia="zh-CN"/>
        </w:rPr>
        <w:t>‘</w:t>
      </w:r>
      <w:r>
        <w:rPr>
          <w:rFonts w:hint="eastAsia" w:eastAsia="宋体"/>
          <w:color w:val="auto"/>
          <w:sz w:val="21"/>
          <w:szCs w:val="21"/>
          <w:lang w:val="en-US" w:eastAsia="zh-CN"/>
        </w:rPr>
        <w:t>NeedForGap</w:t>
      </w:r>
      <w:r>
        <w:rPr>
          <w:rFonts w:hint="default" w:eastAsia="宋体"/>
          <w:color w:val="auto"/>
          <w:sz w:val="21"/>
          <w:szCs w:val="21"/>
          <w:lang w:val="en-US" w:eastAsia="zh-CN"/>
        </w:rPr>
        <w:t>’</w:t>
      </w:r>
      <w:r>
        <w:rPr>
          <w:rFonts w:hint="eastAsia" w:eastAsia="宋体"/>
          <w:color w:val="auto"/>
          <w:sz w:val="21"/>
          <w:szCs w:val="21"/>
          <w:lang w:val="en-US" w:eastAsia="zh-CN"/>
        </w:rPr>
        <w:t xml:space="preserve"> mechanism. In addition to </w:t>
      </w:r>
      <w:r>
        <w:rPr>
          <w:rFonts w:hint="default" w:eastAsia="宋体"/>
          <w:color w:val="auto"/>
          <w:sz w:val="21"/>
          <w:szCs w:val="21"/>
          <w:lang w:val="en-US" w:eastAsia="zh-CN"/>
        </w:rPr>
        <w:t>‘</w:t>
      </w:r>
      <w:r>
        <w:rPr>
          <w:rFonts w:hint="eastAsia" w:eastAsia="宋体"/>
          <w:color w:val="auto"/>
          <w:sz w:val="21"/>
          <w:szCs w:val="21"/>
          <w:lang w:val="en-US" w:eastAsia="zh-CN"/>
        </w:rPr>
        <w:t>gap</w:t>
      </w:r>
      <w:r>
        <w:rPr>
          <w:rFonts w:hint="default" w:eastAsia="宋体"/>
          <w:color w:val="auto"/>
          <w:sz w:val="21"/>
          <w:szCs w:val="21"/>
          <w:lang w:val="en-US" w:eastAsia="zh-CN"/>
        </w:rPr>
        <w:t>’</w:t>
      </w:r>
      <w:r>
        <w:rPr>
          <w:rFonts w:hint="eastAsia" w:eastAsia="宋体"/>
          <w:color w:val="auto"/>
          <w:sz w:val="21"/>
          <w:szCs w:val="21"/>
          <w:lang w:val="en-US" w:eastAsia="zh-CN"/>
        </w:rPr>
        <w:t xml:space="preserve"> and </w:t>
      </w:r>
      <w:r>
        <w:rPr>
          <w:rFonts w:hint="default" w:eastAsia="宋体"/>
          <w:color w:val="auto"/>
          <w:sz w:val="21"/>
          <w:szCs w:val="21"/>
          <w:lang w:val="en-US" w:eastAsia="zh-CN"/>
        </w:rPr>
        <w:t>‘</w:t>
      </w:r>
      <w:r>
        <w:rPr>
          <w:rFonts w:hint="eastAsia" w:eastAsia="宋体"/>
          <w:color w:val="auto"/>
          <w:sz w:val="21"/>
          <w:szCs w:val="21"/>
          <w:lang w:val="en-US" w:eastAsia="zh-CN"/>
        </w:rPr>
        <w:t>no-gap</w:t>
      </w:r>
      <w:r>
        <w:rPr>
          <w:rFonts w:hint="default" w:eastAsia="宋体"/>
          <w:color w:val="auto"/>
          <w:sz w:val="21"/>
          <w:szCs w:val="21"/>
          <w:lang w:val="en-US" w:eastAsia="zh-CN"/>
        </w:rPr>
        <w:t>’</w:t>
      </w:r>
      <w:r>
        <w:rPr>
          <w:rFonts w:hint="eastAsia" w:eastAsia="宋体"/>
          <w:color w:val="auto"/>
          <w:sz w:val="21"/>
          <w:szCs w:val="21"/>
          <w:lang w:val="en-US" w:eastAsia="zh-CN"/>
        </w:rPr>
        <w:t xml:space="preserve"> element, a new element </w:t>
      </w:r>
      <w:r>
        <w:rPr>
          <w:rFonts w:hint="default" w:eastAsia="宋体"/>
          <w:color w:val="auto"/>
          <w:sz w:val="21"/>
          <w:szCs w:val="21"/>
          <w:lang w:val="en-US" w:eastAsia="zh-CN"/>
        </w:rPr>
        <w:t>‘</w:t>
      </w:r>
      <w:r>
        <w:rPr>
          <w:rFonts w:hint="eastAsia" w:eastAsia="宋体"/>
          <w:color w:val="auto"/>
          <w:sz w:val="21"/>
          <w:szCs w:val="21"/>
          <w:lang w:val="en-US" w:eastAsia="zh-CN"/>
        </w:rPr>
        <w:t>no-gap-with-interruption</w:t>
      </w:r>
      <w:r>
        <w:rPr>
          <w:rFonts w:hint="default" w:eastAsia="宋体"/>
          <w:color w:val="auto"/>
          <w:sz w:val="21"/>
          <w:szCs w:val="21"/>
          <w:lang w:val="en-US" w:eastAsia="zh-CN"/>
        </w:rPr>
        <w:t>’</w:t>
      </w:r>
      <w:r>
        <w:rPr>
          <w:rFonts w:hint="eastAsia" w:eastAsia="宋体"/>
          <w:color w:val="auto"/>
          <w:sz w:val="21"/>
          <w:szCs w:val="21"/>
          <w:lang w:val="en-US" w:eastAsia="zh-CN"/>
        </w:rPr>
        <w:t xml:space="preserve"> can be added. Example of detailed IE is shown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overflowPunct/>
              <w:autoSpaceDE/>
              <w:autoSpaceDN/>
              <w:adjustRightInd/>
              <w:spacing w:after="0"/>
              <w:textAlignment w:val="auto"/>
              <w:rPr>
                <w:rFonts w:ascii="Courier New" w:hAnsi="Courier New" w:cs="Courier New"/>
                <w:sz w:val="15"/>
                <w:szCs w:val="15"/>
                <w:lang w:eastAsia="zh-TW"/>
              </w:rPr>
            </w:pPr>
            <w:r>
              <w:rPr>
                <w:rFonts w:ascii="Courier New" w:hAnsi="Courier New" w:cs="Courier New"/>
                <w:sz w:val="15"/>
                <w:szCs w:val="15"/>
                <w:shd w:val="clear" w:color="auto" w:fill="E6E6E6"/>
                <w:lang w:eastAsia="zh-TW"/>
              </w:rPr>
              <w:t>NeedForGaps</w:t>
            </w:r>
            <w:r>
              <w:rPr>
                <w:rFonts w:ascii="Courier New" w:hAnsi="Courier New" w:cs="Courier New"/>
                <w:bCs/>
                <w:sz w:val="15"/>
                <w:szCs w:val="15"/>
                <w:shd w:val="clear" w:color="auto" w:fill="E6E6E6"/>
                <w:lang w:eastAsia="zh-TW"/>
              </w:rPr>
              <w:t>NR</w:t>
            </w:r>
            <w:r>
              <w:rPr>
                <w:rFonts w:ascii="Courier New" w:hAnsi="Courier New" w:cs="Courier New"/>
                <w:sz w:val="15"/>
                <w:szCs w:val="15"/>
                <w:shd w:val="clear" w:color="auto" w:fill="E6E6E6"/>
                <w:lang w:eastAsia="zh-TW"/>
              </w:rPr>
              <w:t>-r16  ::=             SEQUENCE {</w:t>
            </w:r>
          </w:p>
          <w:p>
            <w:pPr>
              <w:overflowPunct/>
              <w:autoSpaceDE/>
              <w:autoSpaceDN/>
              <w:adjustRightInd/>
              <w:spacing w:after="0"/>
              <w:textAlignment w:val="auto"/>
              <w:rPr>
                <w:rFonts w:ascii="Courier New" w:hAnsi="Courier New" w:cs="Courier New"/>
                <w:sz w:val="15"/>
                <w:szCs w:val="15"/>
                <w:lang w:eastAsia="zh-TW"/>
              </w:rPr>
            </w:pPr>
            <w:r>
              <w:rPr>
                <w:rFonts w:ascii="Courier New" w:hAnsi="Courier New" w:cs="Courier New"/>
                <w:sz w:val="15"/>
                <w:szCs w:val="15"/>
                <w:shd w:val="clear" w:color="auto" w:fill="E6E6E6"/>
                <w:lang w:eastAsia="zh-TW"/>
              </w:rPr>
              <w:t xml:space="preserve">    bandNR-r16                        </w:t>
            </w:r>
            <w:r>
              <w:rPr>
                <w:rFonts w:ascii="Courier New" w:hAnsi="Courier New" w:cs="Courier New"/>
                <w:bCs/>
                <w:sz w:val="15"/>
                <w:szCs w:val="15"/>
                <w:shd w:val="clear" w:color="auto" w:fill="E6E6E6"/>
                <w:lang w:eastAsia="zh-TW"/>
              </w:rPr>
              <w:t>FreqBandIndicatorNR</w:t>
            </w:r>
            <w:r>
              <w:rPr>
                <w:rFonts w:ascii="Courier New" w:hAnsi="Courier New" w:cs="Courier New"/>
                <w:sz w:val="15"/>
                <w:szCs w:val="15"/>
                <w:shd w:val="clear" w:color="auto" w:fill="E6E6E6"/>
                <w:lang w:eastAsia="zh-TW"/>
              </w:rPr>
              <w:t>,</w:t>
            </w:r>
          </w:p>
          <w:p>
            <w:pPr>
              <w:rPr>
                <w:rFonts w:hint="default" w:cs="Times New Roman"/>
                <w:b w:val="0"/>
                <w:bCs/>
                <w:kern w:val="44"/>
                <w:sz w:val="21"/>
                <w:szCs w:val="21"/>
                <w:vertAlign w:val="baseline"/>
                <w:lang w:val="en-US" w:eastAsia="zh-CN" w:bidi="ar-SA"/>
              </w:rPr>
            </w:pPr>
            <w:r>
              <w:rPr>
                <w:rFonts w:ascii="Courier New" w:hAnsi="Courier New" w:cs="Courier New"/>
                <w:sz w:val="15"/>
                <w:szCs w:val="15"/>
                <w:shd w:val="clear" w:color="auto" w:fill="E6E6E6"/>
                <w:lang w:eastAsia="zh-TW"/>
              </w:rPr>
              <w:t xml:space="preserve">    gapIndication-r16                ENUMERATED {gap, no-gap, </w:t>
            </w:r>
            <w:r>
              <w:rPr>
                <w:rFonts w:hint="eastAsia" w:ascii="Courier New" w:hAnsi="Courier New" w:cs="Courier New"/>
                <w:sz w:val="15"/>
                <w:szCs w:val="15"/>
                <w:highlight w:val="yellow"/>
                <w:shd w:val="clear" w:color="auto" w:fill="E6E6E6"/>
                <w:lang w:val="en-US" w:eastAsia="zh-TW"/>
              </w:rPr>
              <w:t>no-gap-with-interruption</w:t>
            </w:r>
            <w:r>
              <w:rPr>
                <w:rFonts w:ascii="Courier New" w:hAnsi="Courier New" w:cs="Courier New"/>
                <w:sz w:val="15"/>
                <w:szCs w:val="15"/>
                <w:shd w:val="clear" w:color="auto" w:fill="E6E6E6"/>
                <w:lang w:eastAsia="zh-TW"/>
              </w:rPr>
              <w:t>}}</w:t>
            </w:r>
          </w:p>
        </w:tc>
      </w:tr>
    </w:tbl>
    <w:p>
      <w:pPr>
        <w:rPr>
          <w:rFonts w:hint="default"/>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We prefer Option 2, i.e. adding a new element </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no-gap-with-interruption</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into the existing 'NeedForGap' mechanism.</w:t>
      </w:r>
    </w:p>
    <w:p>
      <w:pPr>
        <w:pStyle w:val="4"/>
        <w:bidi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2.4.3 Configuration of NCSG</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For this issue, the following options were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6"/>
              <w:keepNext w:val="0"/>
              <w:keepLines w:val="0"/>
              <w:pageBreakBefore w:val="0"/>
              <w:widowControl w:val="0"/>
              <w:numPr>
                <w:ilvl w:val="0"/>
                <w:numId w:val="0"/>
              </w:numPr>
              <w:kinsoku/>
              <w:wordWrap/>
              <w:overflowPunct w:val="0"/>
              <w:topLinePunct w:val="0"/>
              <w:autoSpaceDE w:val="0"/>
              <w:autoSpaceDN w:val="0"/>
              <w:bidi w:val="0"/>
              <w:adjustRightInd w:val="0"/>
              <w:snapToGrid/>
              <w:spacing w:after="0"/>
              <w:jc w:val="both"/>
              <w:textAlignment w:val="baseline"/>
              <w:rPr>
                <w:rFonts w:asciiTheme="minorHAnsi" w:hAnsiTheme="minorHAnsi" w:cstheme="minorHAnsi"/>
                <w:bCs/>
              </w:rPr>
            </w:pPr>
            <w:r>
              <w:rPr>
                <w:rFonts w:asciiTheme="minorHAnsi" w:hAnsiTheme="minorHAnsi" w:cstheme="minorHAnsi"/>
                <w:bCs/>
              </w:rPr>
              <w:t>Open issues:</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Option 1: Support the explicit configuration for NCSG (detail to be left to RAN2).</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eastAsia="宋体" w:asciiTheme="minorHAnsi" w:hAnsiTheme="minorHAnsi" w:cstheme="minorHAnsi"/>
                <w:bCs/>
                <w:iCs/>
                <w:lang w:eastAsia="zh-CN"/>
              </w:rPr>
            </w:pPr>
            <w:r>
              <w:rPr>
                <w:rFonts w:eastAsia="宋体" w:asciiTheme="minorHAnsi" w:hAnsiTheme="minorHAnsi" w:cstheme="minorHAnsi"/>
                <w:bCs/>
                <w:iCs/>
                <w:lang w:eastAsia="zh-CN"/>
              </w:rPr>
              <w:t>Option 2: Introduce a single bit for existing MeasGapConfig to transform the legacy gap into NCSG (detail to be left to RAN2).</w:t>
            </w:r>
          </w:p>
          <w:p>
            <w:pPr>
              <w:pStyle w:val="26"/>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left="240" w:leftChars="0"/>
              <w:jc w:val="both"/>
              <w:textAlignment w:val="baseline"/>
              <w:rPr>
                <w:rFonts w:hint="default" w:cs="Times New Roman"/>
                <w:b w:val="0"/>
                <w:bCs/>
                <w:kern w:val="44"/>
                <w:sz w:val="21"/>
                <w:szCs w:val="21"/>
                <w:vertAlign w:val="baseline"/>
                <w:lang w:val="en-US" w:eastAsia="zh-CN" w:bidi="ar-SA"/>
              </w:rPr>
            </w:pPr>
            <w:r>
              <w:rPr>
                <w:rFonts w:eastAsia="宋体" w:asciiTheme="minorHAnsi" w:hAnsiTheme="minorHAnsi" w:cstheme="minorHAnsi"/>
                <w:bCs/>
                <w:iCs/>
                <w:lang w:eastAsia="zh-CN"/>
              </w:rPr>
              <w:t>Option 3: postpone until NCSG pattern design as well as NCSG applicability and UE capability support are finalized</w:t>
            </w:r>
          </w:p>
        </w:tc>
      </w:tr>
    </w:tbl>
    <w:p>
      <w:pPr>
        <w:rPr>
          <w:rFonts w:hint="default" w:eastAsia="宋体"/>
          <w:color w:val="auto"/>
          <w:sz w:val="21"/>
          <w:szCs w:val="21"/>
          <w:highlight w:val="none"/>
          <w:lang w:val="en-US" w:eastAsia="zh-CN"/>
        </w:rPr>
      </w:pPr>
      <w:r>
        <w:rPr>
          <w:rFonts w:hint="default" w:eastAsia="宋体"/>
          <w:color w:val="auto"/>
          <w:sz w:val="21"/>
          <w:szCs w:val="21"/>
          <w:highlight w:val="none"/>
          <w:lang w:val="en-US" w:eastAsia="zh-CN"/>
        </w:rPr>
        <w:t xml:space="preserve">We think this </w:t>
      </w:r>
      <w:r>
        <w:rPr>
          <w:rFonts w:hint="eastAsia" w:eastAsia="宋体"/>
          <w:color w:val="auto"/>
          <w:sz w:val="21"/>
          <w:szCs w:val="21"/>
          <w:highlight w:val="none"/>
          <w:lang w:val="en-US" w:eastAsia="zh-CN"/>
        </w:rPr>
        <w:t xml:space="preserve">issue </w:t>
      </w:r>
      <w:r>
        <w:rPr>
          <w:rFonts w:hint="default" w:eastAsia="宋体"/>
          <w:color w:val="auto"/>
          <w:sz w:val="21"/>
          <w:szCs w:val="21"/>
          <w:highlight w:val="none"/>
          <w:lang w:val="en-US" w:eastAsia="zh-CN"/>
        </w:rPr>
        <w:t xml:space="preserve">is closely related to </w:t>
      </w:r>
      <w:r>
        <w:rPr>
          <w:rFonts w:hint="eastAsia" w:eastAsia="宋体"/>
          <w:color w:val="auto"/>
          <w:sz w:val="21"/>
          <w:szCs w:val="21"/>
          <w:highlight w:val="none"/>
          <w:lang w:val="en-US" w:eastAsia="zh-CN"/>
        </w:rPr>
        <w:t>the issue discussed in section 2.3.2</w:t>
      </w:r>
      <w:r>
        <w:rPr>
          <w:rFonts w:hint="default" w:eastAsia="宋体"/>
          <w:color w:val="auto"/>
          <w:sz w:val="21"/>
          <w:szCs w:val="21"/>
          <w:highlight w:val="none"/>
          <w:lang w:val="en-US" w:eastAsia="zh-CN"/>
        </w:rPr>
        <w:t xml:space="preserve">. If the definition of VIL can be independent of ML, </w:t>
      </w:r>
      <w:r>
        <w:rPr>
          <w:rFonts w:hint="eastAsia" w:eastAsia="宋体"/>
          <w:color w:val="auto"/>
          <w:sz w:val="21"/>
          <w:szCs w:val="21"/>
          <w:highlight w:val="none"/>
          <w:lang w:val="en-US" w:eastAsia="zh-CN"/>
        </w:rPr>
        <w:t>t</w:t>
      </w:r>
      <w:r>
        <w:rPr>
          <w:rFonts w:hint="default" w:eastAsia="宋体"/>
          <w:color w:val="auto"/>
          <w:sz w:val="21"/>
          <w:szCs w:val="21"/>
          <w:highlight w:val="none"/>
          <w:lang w:val="en-US" w:eastAsia="zh-CN"/>
        </w:rPr>
        <w:t xml:space="preserve">hen legacy MG pattern can be used to configure NCSG, that is, </w:t>
      </w:r>
      <w:r>
        <w:rPr>
          <w:rFonts w:asciiTheme="minorHAnsi" w:hAnsiTheme="minorHAnsi" w:cstheme="minorHAnsi"/>
          <w:bCs/>
        </w:rPr>
        <w:t>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2*RRT</w:t>
      </w:r>
      <w:r>
        <w:rPr>
          <w:rFonts w:asciiTheme="minorHAnsi" w:hAnsiTheme="minorHAnsi" w:cstheme="minorHAnsi"/>
          <w:bCs/>
          <w:vertAlign w:val="subscript"/>
        </w:rPr>
        <w:t>legacy</w:t>
      </w:r>
      <w:r>
        <w:rPr>
          <w:rFonts w:hint="default" w:eastAsia="宋体"/>
          <w:color w:val="auto"/>
          <w:sz w:val="21"/>
          <w:szCs w:val="21"/>
          <w:highlight w:val="none"/>
          <w:lang w:val="en-US" w:eastAsia="zh-CN"/>
        </w:rPr>
        <w:t xml:space="preserve">. Therefore, it </w:t>
      </w:r>
      <w:r>
        <w:rPr>
          <w:rFonts w:hint="eastAsia" w:eastAsia="宋体"/>
          <w:color w:val="auto"/>
          <w:sz w:val="21"/>
          <w:szCs w:val="21"/>
          <w:highlight w:val="none"/>
          <w:lang w:val="en-US" w:eastAsia="zh-CN"/>
        </w:rPr>
        <w:t>is not</w:t>
      </w:r>
      <w:r>
        <w:rPr>
          <w:rFonts w:hint="default" w:eastAsia="宋体"/>
          <w:color w:val="auto"/>
          <w:sz w:val="21"/>
          <w:szCs w:val="21"/>
          <w:highlight w:val="none"/>
          <w:lang w:val="en-US" w:eastAsia="zh-CN"/>
        </w:rPr>
        <w:t xml:space="preserve"> necessary to design a new signaling for NCSG configuration. We support Option 2.</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Option 2 is preferred by us, i.e. introduce a single bit for existing MeasGapConfig to transform the legacy gap into NCSG (detail to be left to RAN2).  </w:t>
      </w:r>
    </w:p>
    <w:p>
      <w:pPr>
        <w:rPr>
          <w:rFonts w:hint="eastAsia"/>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7"/>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NCSG</w:t>
      </w:r>
      <w:r>
        <w:rPr>
          <w:rFonts w:eastAsia="宋体"/>
          <w:bCs/>
          <w:color w:val="auto"/>
          <w:sz w:val="21"/>
          <w:szCs w:val="21"/>
          <w:lang w:val="en-GB" w:eastAsia="zh-CN"/>
        </w:rPr>
        <w:t>:</w:t>
      </w:r>
    </w:p>
    <w:p>
      <w:pPr>
        <w:rPr>
          <w:rFonts w:eastAsia="宋体"/>
          <w:bCs/>
          <w:color w:val="auto"/>
          <w:sz w:val="21"/>
          <w:szCs w:val="21"/>
          <w:lang w:val="en-GB" w:eastAsia="zh-CN"/>
        </w:rPr>
      </w:pPr>
      <w:r>
        <w:rPr>
          <w:rFonts w:hint="eastAsia" w:eastAsia="宋体" w:cs="Times New Roman"/>
          <w:b/>
          <w:bCs/>
          <w:color w:val="auto"/>
          <w:sz w:val="21"/>
          <w:szCs w:val="21"/>
          <w:highlight w:val="none"/>
          <w:lang w:val="en-US" w:eastAsia="zh-CN" w:bidi="ar-SA"/>
        </w:rPr>
        <w:t>Observation</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If only L3 measurement operation is needed and without need of other receiving/transmitting operation for the target cell, then NCSG can be applied.</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1"/>
          <w:szCs w:val="21"/>
          <w:lang w:val="en-US" w:eastAsia="zh-CN"/>
        </w:rPr>
      </w:pPr>
      <w:r>
        <w:rPr>
          <w:rFonts w:eastAsia="宋体"/>
          <w:b/>
          <w:bCs/>
          <w:color w:val="auto"/>
          <w:sz w:val="21"/>
          <w:szCs w:val="21"/>
          <w:lang w:val="en-GB" w:eastAsia="zh-CN"/>
        </w:rPr>
        <w:t>Proposal 1:</w:t>
      </w:r>
      <w:r>
        <w:rPr>
          <w:rFonts w:hint="eastAsia" w:eastAsia="宋体"/>
          <w:b/>
          <w:bCs/>
          <w:color w:val="auto"/>
          <w:sz w:val="21"/>
          <w:szCs w:val="21"/>
          <w:lang w:val="en-US" w:eastAsia="zh-CN"/>
        </w:rPr>
        <w:t xml:space="preserve"> </w:t>
      </w:r>
      <w:r>
        <w:rPr>
          <w:rFonts w:hint="eastAsia" w:eastAsia="宋体" w:cs="Times New Roman"/>
          <w:b/>
          <w:bCs/>
          <w:color w:val="auto"/>
          <w:sz w:val="21"/>
          <w:szCs w:val="21"/>
          <w:highlight w:val="none"/>
          <w:lang w:val="en-US" w:eastAsia="zh-CN" w:bidi="ar-SA"/>
        </w:rPr>
        <w:t>Not support applying NCSG to the use case of measurement on dormant SCell.</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1"/>
          <w:szCs w:val="21"/>
          <w:lang w:val="en-US" w:eastAsia="zh-CN"/>
        </w:rPr>
      </w:pPr>
      <w:r>
        <w:rPr>
          <w:rFonts w:hint="eastAsia" w:eastAsia="宋体"/>
          <w:b/>
          <w:bCs/>
          <w:color w:val="auto"/>
          <w:sz w:val="21"/>
          <w:szCs w:val="21"/>
          <w:lang w:val="en-US" w:eastAsia="zh-CN"/>
        </w:rPr>
        <w:t xml:space="preserve">Proposal 2: </w:t>
      </w:r>
      <w:r>
        <w:rPr>
          <w:rFonts w:hint="eastAsia" w:eastAsia="宋体" w:cs="Times New Roman"/>
          <w:b/>
          <w:bCs/>
          <w:color w:val="auto"/>
          <w:sz w:val="21"/>
          <w:szCs w:val="21"/>
          <w:highlight w:val="none"/>
          <w:lang w:val="en-US" w:eastAsia="zh-CN" w:bidi="ar-SA"/>
        </w:rPr>
        <w:t>Not support applying NCSG to the use case of CSI-RS based inter-frequency measurement with gap.</w:t>
      </w:r>
      <w:r>
        <w:rPr>
          <w:rFonts w:hint="eastAsia" w:eastAsia="宋体"/>
          <w:color w:val="auto"/>
          <w:sz w:val="21"/>
          <w:szCs w:val="21"/>
          <w:highlight w:val="none"/>
          <w:lang w:val="en-US" w:eastAsia="zh-CN"/>
        </w:rPr>
        <w:t xml:space="preserve"> </w:t>
      </w:r>
    </w:p>
    <w:p>
      <w:p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Some revise should be added into the table in Option 1. The revised table is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2"/>
        <w:gridCol w:w="2174"/>
        <w:gridCol w:w="2566"/>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Borders>
              <w:tl2br w:val="single" w:color="auto" w:sz="4" w:space="0"/>
            </w:tcBorders>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           NW config</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UE capability</w:t>
            </w:r>
          </w:p>
        </w:tc>
        <w:tc>
          <w:tcPr>
            <w:tcW w:w="2174"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Case a: </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MG nor NCSG</w:t>
            </w:r>
          </w:p>
        </w:tc>
        <w:tc>
          <w:tcPr>
            <w:tcW w:w="256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b:</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NCSG</w:t>
            </w:r>
          </w:p>
        </w:tc>
        <w:tc>
          <w:tcPr>
            <w:tcW w:w="237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 xml:space="preserve">Case c: </w:t>
            </w:r>
          </w:p>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1: gap</w:t>
            </w:r>
          </w:p>
        </w:tc>
        <w:tc>
          <w:tcPr>
            <w:tcW w:w="2174"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56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37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within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2: no-gap-with-interruption</w:t>
            </w:r>
          </w:p>
        </w:tc>
        <w:tc>
          <w:tcPr>
            <w:tcW w:w="2174" w:type="dxa"/>
            <w:shd w:val="clear" w:color="auto" w:fill="auto"/>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No requirement</w:t>
            </w:r>
          </w:p>
        </w:tc>
        <w:tc>
          <w:tcPr>
            <w:tcW w:w="2566"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within NCSG with only NCSG interruption allowed</w:t>
            </w:r>
          </w:p>
        </w:tc>
        <w:tc>
          <w:tcPr>
            <w:tcW w:w="237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strike/>
                <w:dstrike w:val="0"/>
                <w:color w:val="000000" w:themeColor="text1"/>
                <w:szCs w:val="24"/>
                <w:lang w:eastAsia="zh-CN"/>
                <w14:textFill>
                  <w14:solidFill>
                    <w14:schemeClr w14:val="tx1"/>
                  </w14:solidFill>
                </w14:textFill>
              </w:rPr>
              <w:t>Measurement within MG with only legacy gap interruption allowed</w:t>
            </w:r>
            <w:r>
              <w:rPr>
                <w:rFonts w:hint="eastAsia" w:ascii="Calibri" w:hAnsi="Calibri" w:cs="Calibri"/>
                <w:b/>
                <w:strike/>
                <w:dstrike w:val="0"/>
                <w:color w:val="000000" w:themeColor="text1"/>
                <w:szCs w:val="24"/>
                <w:lang w:val="en-US" w:eastAsia="zh-CN"/>
                <w14:textFill>
                  <w14:solidFill>
                    <w14:schemeClr w14:val="tx1"/>
                  </w14:solidFill>
                </w14:textFill>
              </w:rPr>
              <w:t xml:space="preserve"> </w:t>
            </w:r>
            <w:r>
              <w:rPr>
                <w:rFonts w:hint="eastAsia" w:ascii="Calibri" w:hAnsi="Calibri" w:cs="Calibri"/>
                <w:b/>
                <w:color w:val="0000FF"/>
                <w:szCs w:val="24"/>
                <w:lang w:val="en-US" w:eastAsia="zh-CN"/>
              </w:rPr>
              <w:t>Measurement within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2"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Case 3: no-gap-no-interruption</w:t>
            </w:r>
          </w:p>
        </w:tc>
        <w:tc>
          <w:tcPr>
            <w:tcW w:w="2174" w:type="dxa"/>
          </w:tcPr>
          <w:p>
            <w:pPr>
              <w:keepNext w:val="0"/>
              <w:keepLines w:val="0"/>
              <w:pageBreakBefore w:val="0"/>
              <w:widowControl w:val="0"/>
              <w:kinsoku/>
              <w:wordWrap/>
              <w:overflowPunct/>
              <w:topLinePunct w:val="0"/>
              <w:autoSpaceDE/>
              <w:autoSpaceDN/>
              <w:bidi w:val="0"/>
              <w:adjustRightInd/>
              <w:snapToGrid/>
              <w:textAlignment w:val="auto"/>
              <w:rPr>
                <w:rFonts w:ascii="Calibri" w:hAnsi="Calibri" w:cs="Calibri"/>
                <w:b/>
                <w:color w:val="000000" w:themeColor="text1"/>
                <w:szCs w:val="24"/>
                <w:lang w:eastAsia="zh-CN"/>
                <w14:textFill>
                  <w14:solidFill>
                    <w14:schemeClr w14:val="tx1"/>
                  </w14:solidFill>
                </w14:textFill>
              </w:rPr>
            </w:pPr>
            <w:r>
              <w:rPr>
                <w:rFonts w:ascii="Calibri" w:hAnsi="Calibri" w:cs="Calibri"/>
                <w:b/>
                <w:color w:val="000000" w:themeColor="text1"/>
                <w:szCs w:val="24"/>
                <w:lang w:eastAsia="zh-CN"/>
                <w14:textFill>
                  <w14:solidFill>
                    <w14:schemeClr w14:val="tx1"/>
                  </w14:solidFill>
                </w14:textFill>
              </w:rPr>
              <w:t>Measurement without MG</w:t>
            </w:r>
          </w:p>
        </w:tc>
        <w:tc>
          <w:tcPr>
            <w:tcW w:w="2566" w:type="dxa"/>
          </w:tcPr>
          <w:p>
            <w:pPr>
              <w:keepNext w:val="0"/>
              <w:keepLines w:val="0"/>
              <w:pageBreakBefore w:val="0"/>
              <w:widowControl w:val="0"/>
              <w:kinsoku/>
              <w:wordWrap/>
              <w:overflowPunct/>
              <w:topLinePunct w:val="0"/>
              <w:autoSpaceDE/>
              <w:autoSpaceDN/>
              <w:bidi w:val="0"/>
              <w:adjustRightInd/>
              <w:snapToGrid/>
              <w:textAlignment w:val="auto"/>
              <w:rPr>
                <w:rFonts w:hint="default" w:ascii="Calibri" w:hAnsi="Calibri" w:cs="Calibri"/>
                <w:b/>
                <w:color w:val="000000" w:themeColor="text1"/>
                <w:szCs w:val="24"/>
                <w:lang w:val="en-US" w:eastAsia="zh-CN"/>
                <w14:textFill>
                  <w14:solidFill>
                    <w14:schemeClr w14:val="tx1"/>
                  </w14:solidFill>
                </w14:textFill>
              </w:rPr>
            </w:pPr>
            <w:r>
              <w:rPr>
                <w:rFonts w:ascii="Calibri" w:hAnsi="Calibri" w:cs="Calibri"/>
                <w:b/>
                <w:strike/>
                <w:dstrike w:val="0"/>
                <w:color w:val="000000" w:themeColor="text1"/>
                <w:szCs w:val="24"/>
                <w:lang w:eastAsia="zh-CN"/>
                <w14:textFill>
                  <w14:solidFill>
                    <w14:schemeClr w14:val="tx1"/>
                  </w14:solidFill>
                </w14:textFill>
              </w:rPr>
              <w:t>Measurement outside NCSG</w:t>
            </w:r>
            <w:r>
              <w:rPr>
                <w:rFonts w:hint="eastAsia" w:ascii="Calibri" w:hAnsi="Calibri" w:cs="Calibri"/>
                <w:b/>
                <w:color w:val="000000" w:themeColor="text1"/>
                <w:szCs w:val="24"/>
                <w:lang w:val="en-US" w:eastAsia="zh-CN"/>
                <w14:textFill>
                  <w14:solidFill>
                    <w14:schemeClr w14:val="tx1"/>
                  </w14:solidFill>
                </w14:textFill>
              </w:rPr>
              <w:t xml:space="preserve"> </w:t>
            </w:r>
            <w:r>
              <w:rPr>
                <w:rFonts w:hint="eastAsia" w:ascii="Calibri" w:hAnsi="Calibri" w:cs="Calibri"/>
                <w:b/>
                <w:color w:val="0000FF"/>
                <w:szCs w:val="24"/>
                <w:lang w:val="en-US" w:eastAsia="zh-CN"/>
              </w:rPr>
              <w:t>Measurement within NCSG with only NCSG interruption allowed</w:t>
            </w:r>
          </w:p>
        </w:tc>
        <w:tc>
          <w:tcPr>
            <w:tcW w:w="2372" w:type="dxa"/>
          </w:tcPr>
          <w:p>
            <w:pPr>
              <w:keepNext w:val="0"/>
              <w:keepLines w:val="0"/>
              <w:pageBreakBefore w:val="0"/>
              <w:widowControl w:val="0"/>
              <w:kinsoku/>
              <w:wordWrap/>
              <w:overflowPunct/>
              <w:topLinePunct w:val="0"/>
              <w:autoSpaceDE/>
              <w:autoSpaceDN/>
              <w:bidi w:val="0"/>
              <w:adjustRightInd/>
              <w:snapToGrid/>
              <w:textAlignment w:val="auto"/>
              <w:rPr>
                <w:rFonts w:hint="default" w:ascii="Calibri" w:hAnsi="Calibri" w:cs="Calibri"/>
                <w:b/>
                <w:color w:val="000000" w:themeColor="text1"/>
                <w:szCs w:val="24"/>
                <w:lang w:val="en-US" w:eastAsia="zh-CN"/>
                <w14:textFill>
                  <w14:solidFill>
                    <w14:schemeClr w14:val="tx1"/>
                  </w14:solidFill>
                </w14:textFill>
              </w:rPr>
            </w:pPr>
            <w:r>
              <w:rPr>
                <w:rFonts w:ascii="Calibri" w:hAnsi="Calibri" w:cs="Calibri"/>
                <w:b/>
                <w:strike/>
                <w:dstrike w:val="0"/>
                <w:color w:val="000000" w:themeColor="text1"/>
                <w:szCs w:val="24"/>
                <w:lang w:eastAsia="zh-CN"/>
                <w14:textFill>
                  <w14:solidFill>
                    <w14:schemeClr w14:val="tx1"/>
                  </w14:solidFill>
                </w14:textFill>
              </w:rPr>
              <w:t>Measurement outside MG</w:t>
            </w:r>
            <w:r>
              <w:rPr>
                <w:rFonts w:hint="eastAsia" w:ascii="Calibri" w:hAnsi="Calibri" w:cs="Calibri"/>
                <w:b/>
                <w:color w:val="000000" w:themeColor="text1"/>
                <w:szCs w:val="24"/>
                <w:lang w:val="en-US" w:eastAsia="zh-CN"/>
                <w14:textFill>
                  <w14:solidFill>
                    <w14:schemeClr w14:val="tx1"/>
                  </w14:solidFill>
                </w14:textFill>
              </w:rPr>
              <w:t xml:space="preserve"> </w:t>
            </w:r>
            <w:r>
              <w:rPr>
                <w:rFonts w:hint="eastAsia" w:ascii="Calibri" w:hAnsi="Calibri" w:cs="Calibri"/>
                <w:b/>
                <w:color w:val="0000FF"/>
                <w:szCs w:val="24"/>
                <w:lang w:val="en-US" w:eastAsia="zh-CN"/>
              </w:rPr>
              <w:t>Measurement within MG</w:t>
            </w:r>
          </w:p>
        </w:tc>
      </w:tr>
    </w:tbl>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cs="Times New Roman"/>
          <w:b/>
          <w:bCs/>
          <w:color w:val="auto"/>
          <w:sz w:val="21"/>
          <w:szCs w:val="21"/>
          <w:highlight w:val="none"/>
          <w:lang w:val="en-US" w:eastAsia="zh-CN" w:bidi="ar-SA"/>
        </w:rPr>
      </w:pPr>
      <w:r>
        <w:rPr>
          <w:rFonts w:hint="eastAsia" w:eastAsia="宋体"/>
          <w:b/>
          <w:bCs/>
          <w:color w:val="auto"/>
          <w:sz w:val="21"/>
          <w:szCs w:val="21"/>
          <w:lang w:val="en-US" w:eastAsia="zh-CN"/>
        </w:rPr>
        <w:t xml:space="preserve">Proposal 4: </w:t>
      </w:r>
      <w:r>
        <w:rPr>
          <w:rFonts w:hint="eastAsia" w:eastAsia="宋体" w:cs="Times New Roman"/>
          <w:b/>
          <w:bCs/>
          <w:color w:val="auto"/>
          <w:sz w:val="21"/>
          <w:szCs w:val="21"/>
          <w:highlight w:val="none"/>
          <w:lang w:val="en-US" w:eastAsia="zh-CN" w:bidi="ar-SA"/>
        </w:rPr>
        <w:t xml:space="preserve">For the last three FFS, postpone them until the combination consideration of pre-configured MG, concurrent MGs, NCSG.  </w:t>
      </w:r>
    </w:p>
    <w:p>
      <w:p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It is not recommended to introduce a larger measurement period. Unless some specific use case can be proposed.</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Until the VIL, ML requirements clarified, how to indicate the support of NCSG patterns can be determined.</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the situation that VIL not be included in NCSG patttern, it is no need to define NCSG seperate patterns for sync and async.</w:t>
      </w:r>
    </w:p>
    <w:p>
      <w:pPr>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We prefer Option 1, i.e. Not consider VIL as a part of NCSG pattern.</w:t>
      </w:r>
    </w:p>
    <w:p>
      <w:pPr>
        <w:rPr>
          <w:rFonts w:hint="default"/>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9</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VIL and RRT can be defined separately.</w:t>
      </w:r>
    </w:p>
    <w:p>
      <w:p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10</w:t>
      </w:r>
      <w:r>
        <w:rPr>
          <w:rFonts w:hint="eastAsia" w:ascii="Times New Roman" w:hAnsi="Times New Roman" w:eastAsia="宋体" w:cs="Times New Roman"/>
          <w:b/>
          <w:bCs/>
          <w:color w:val="auto"/>
          <w:sz w:val="21"/>
          <w:szCs w:val="21"/>
          <w:highlight w:val="none"/>
          <w:lang w:val="en-US" w:eastAsia="zh-CN" w:bidi="ar-SA"/>
        </w:rPr>
        <w:t>:</w:t>
      </w:r>
      <w:r>
        <w:rPr>
          <w:rFonts w:hint="eastAsia"/>
          <w:b/>
          <w:bCs/>
          <w:lang w:val="en-US" w:eastAsia="zh-CN"/>
        </w:rPr>
        <w:t xml:space="preserve"> Option 3 is preferred by us, i.e. </w:t>
      </w:r>
      <w:r>
        <w:rPr>
          <w:rFonts w:asciiTheme="minorHAnsi" w:hAnsiTheme="minorHAnsi" w:cstheme="minorHAnsi"/>
          <w:b/>
          <w:bCs/>
        </w:rPr>
        <w:t>Define MGL</w:t>
      </w:r>
      <w:r>
        <w:rPr>
          <w:rFonts w:asciiTheme="minorHAnsi" w:hAnsiTheme="minorHAnsi" w:cstheme="minorHAnsi"/>
          <w:b/>
          <w:bCs/>
          <w:vertAlign w:val="subscript"/>
        </w:rPr>
        <w:t>NCSG</w:t>
      </w:r>
      <w:r>
        <w:rPr>
          <w:rFonts w:asciiTheme="minorHAnsi" w:hAnsiTheme="minorHAnsi" w:cstheme="minorHAnsi"/>
          <w:b/>
          <w:bCs/>
        </w:rPr>
        <w:t xml:space="preserve"> </w:t>
      </w:r>
      <w:r>
        <w:rPr>
          <w:rFonts w:asciiTheme="minorHAnsi" w:hAnsiTheme="minorHAnsi" w:cstheme="minorHAnsi"/>
          <w:bCs/>
        </w:rPr>
        <w:t>as ML</w:t>
      </w:r>
      <w:r>
        <w:rPr>
          <w:rFonts w:asciiTheme="minorHAnsi" w:hAnsiTheme="minorHAnsi" w:cstheme="minorHAnsi"/>
          <w:bCs/>
          <w:vertAlign w:val="subscript"/>
        </w:rPr>
        <w:t>NCSG</w:t>
      </w:r>
      <w:r>
        <w:rPr>
          <w:rFonts w:asciiTheme="minorHAnsi" w:hAnsiTheme="minorHAnsi" w:cstheme="minorHAnsi"/>
          <w:bCs/>
        </w:rPr>
        <w:t xml:space="preserve"> + 2* RRT</w:t>
      </w:r>
      <w:r>
        <w:rPr>
          <w:rFonts w:asciiTheme="minorHAnsi" w:hAnsiTheme="minorHAnsi" w:cstheme="minorHAnsi"/>
          <w:bCs/>
          <w:vertAlign w:val="subscript"/>
        </w:rPr>
        <w:t>NCSG</w:t>
      </w:r>
      <w:r>
        <w:rPr>
          <w:rFonts w:asciiTheme="minorHAnsi" w:hAnsiTheme="minorHAnsi" w:cstheme="minorHAnsi"/>
          <w:bCs/>
        </w:rPr>
        <w:t>.</w:t>
      </w:r>
      <w:r>
        <w:rPr>
          <w:rFonts w:hint="eastAsia"/>
          <w:b/>
          <w:bCs/>
          <w:lang w:val="en-US" w:eastAsia="zh-CN"/>
        </w:rPr>
        <w:t xml:space="preserve"> which is more appropriate. </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1"/>
          <w:szCs w:val="21"/>
          <w:lang w:val="en-US" w:eastAsia="zh-CN"/>
        </w:rPr>
      </w:pPr>
      <w:r>
        <w:rPr>
          <w:rFonts w:hint="eastAsia" w:eastAsia="宋体"/>
          <w:b/>
          <w:bCs/>
          <w:color w:val="auto"/>
          <w:sz w:val="21"/>
          <w:szCs w:val="21"/>
          <w:lang w:val="en-US" w:eastAsia="zh-CN"/>
        </w:rPr>
        <w:t>Proposal 11: No additional NCSG capability for per-UE and per-FR differentiation is needed.</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1"/>
          <w:szCs w:val="21"/>
          <w:lang w:val="en-US" w:eastAsia="zh-CN"/>
        </w:rPr>
      </w:pPr>
      <w:r>
        <w:rPr>
          <w:rFonts w:hint="eastAsia" w:eastAsia="宋体"/>
          <w:b/>
          <w:bCs/>
          <w:color w:val="auto"/>
          <w:sz w:val="21"/>
          <w:szCs w:val="21"/>
          <w:lang w:val="en-US" w:eastAsia="zh-CN"/>
        </w:rPr>
        <w:t xml:space="preserve">Proposal 12: We prefer Option 2, i.e. adding a new element </w:t>
      </w:r>
      <w:r>
        <w:rPr>
          <w:rFonts w:hint="default" w:eastAsia="宋体"/>
          <w:b/>
          <w:bCs/>
          <w:color w:val="auto"/>
          <w:sz w:val="21"/>
          <w:szCs w:val="21"/>
          <w:lang w:val="en-US" w:eastAsia="zh-CN"/>
        </w:rPr>
        <w:t>‘</w:t>
      </w:r>
      <w:r>
        <w:rPr>
          <w:rFonts w:hint="eastAsia" w:eastAsia="宋体"/>
          <w:b/>
          <w:bCs/>
          <w:color w:val="auto"/>
          <w:sz w:val="21"/>
          <w:szCs w:val="21"/>
          <w:lang w:val="en-US" w:eastAsia="zh-CN"/>
        </w:rPr>
        <w:t>no-gap-with-interruption</w:t>
      </w:r>
      <w:r>
        <w:rPr>
          <w:rFonts w:hint="default" w:eastAsia="宋体"/>
          <w:b/>
          <w:bCs/>
          <w:color w:val="auto"/>
          <w:sz w:val="21"/>
          <w:szCs w:val="21"/>
          <w:lang w:val="en-US" w:eastAsia="zh-CN"/>
        </w:rPr>
        <w:t>’</w:t>
      </w:r>
      <w:r>
        <w:rPr>
          <w:rFonts w:hint="eastAsia" w:eastAsia="宋体"/>
          <w:b/>
          <w:bCs/>
          <w:color w:val="auto"/>
          <w:sz w:val="21"/>
          <w:szCs w:val="21"/>
          <w:lang w:val="en-US" w:eastAsia="zh-CN"/>
        </w:rPr>
        <w:t xml:space="preserve"> into the existing 'NeedForGap' mechanism.</w:t>
      </w:r>
    </w:p>
    <w:p>
      <w:pPr>
        <w:pStyle w:val="7"/>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default" w:ascii="Times New Roman" w:hAnsi="Times New Roman" w:eastAsia="宋体" w:cs="Times New Roman"/>
          <w:b/>
          <w:bCs/>
          <w:color w:val="auto"/>
          <w:sz w:val="21"/>
          <w:szCs w:val="21"/>
          <w:lang w:val="en-US" w:eastAsia="zh-CN" w:bidi="ar-SA"/>
        </w:rPr>
      </w:pPr>
      <w:r>
        <w:rPr>
          <w:rFonts w:hint="eastAsia" w:eastAsia="宋体"/>
          <w:b/>
          <w:bCs/>
          <w:color w:val="auto"/>
          <w:sz w:val="21"/>
          <w:szCs w:val="21"/>
          <w:lang w:val="en-US" w:eastAsia="zh-CN"/>
        </w:rPr>
        <w:t xml:space="preserve">Proposal 13: Option 2 is preferred by us, i.e. introduce a single bit for existing MeasGapConfig to transform the legacy gap into NCSG (detail to be left to RAN2).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lang w:val="en-US" w:eastAsia="zh-CN"/>
        </w:rPr>
      </w:pPr>
      <w:r>
        <w:rPr>
          <w:rFonts w:hint="eastAsia"/>
          <w:color w:val="auto"/>
          <w:lang w:val="en-US" w:eastAsia="zh-CN"/>
        </w:rPr>
        <w:t xml:space="preserve">R4-2108348, </w:t>
      </w:r>
      <w:r>
        <w:rPr>
          <w:rFonts w:hint="default"/>
          <w:color w:val="auto"/>
          <w:lang w:val="en-US" w:eastAsia="zh-CN"/>
        </w:rPr>
        <w:t>“</w:t>
      </w:r>
      <w:r>
        <w:rPr>
          <w:rFonts w:hint="eastAsia"/>
          <w:color w:val="auto"/>
          <w:lang w:val="en-US" w:eastAsia="zh-CN"/>
        </w:rPr>
        <w:t>WF on NCSG</w:t>
      </w:r>
      <w:r>
        <w:rPr>
          <w:rFonts w:hint="default"/>
          <w:color w:val="auto"/>
          <w:lang w:val="en-US" w:eastAsia="zh-CN"/>
        </w:rPr>
        <w:t>”</w:t>
      </w:r>
      <w:r>
        <w:rPr>
          <w:rFonts w:hint="eastAsia"/>
          <w:color w:val="auto"/>
          <w:lang w:val="en-US" w:eastAsia="zh-CN"/>
        </w:rPr>
        <w:t xml:space="preserve">, RAN4#99 e-meeting, Intel. </w:t>
      </w:r>
    </w:p>
    <w:p>
      <w:pPr>
        <w:pStyle w:val="8"/>
        <w:rPr>
          <w:rFonts w:hint="default" w:eastAsia="宋体"/>
          <w:color w:val="auto"/>
          <w:lang w:val="en-US" w:eastAsia="zh-CN"/>
        </w:rPr>
      </w:pPr>
      <w:r>
        <w:rPr>
          <w:rFonts w:hint="eastAsia"/>
          <w:color w:val="auto"/>
          <w:lang w:val="en-US" w:eastAsia="zh-CN"/>
        </w:rPr>
        <w:t>TS 38.133-h20</w:t>
      </w:r>
    </w:p>
    <w:p>
      <w:pPr>
        <w:pStyle w:val="8"/>
        <w:rPr>
          <w:rFonts w:hint="default" w:eastAsia="宋体"/>
          <w:color w:val="auto"/>
          <w:lang w:val="en-US" w:eastAsia="zh-CN"/>
        </w:rPr>
      </w:pPr>
      <w:r>
        <w:rPr>
          <w:rFonts w:hint="eastAsia"/>
          <w:lang w:val="en-US" w:eastAsia="zh-CN"/>
        </w:rPr>
        <w:t xml:space="preserve">R4-2103677, </w:t>
      </w:r>
      <w:r>
        <w:rPr>
          <w:rFonts w:hint="default"/>
          <w:color w:val="auto"/>
          <w:lang w:val="en-US" w:eastAsia="zh-CN"/>
        </w:rPr>
        <w:t>“</w:t>
      </w:r>
      <w:r>
        <w:rPr>
          <w:rFonts w:hint="eastAsia"/>
          <w:color w:val="auto"/>
          <w:lang w:val="en-US" w:eastAsia="zh-CN"/>
        </w:rPr>
        <w:t>WF NR MG enh RRM 2</w:t>
      </w:r>
      <w:r>
        <w:rPr>
          <w:rFonts w:hint="default"/>
          <w:color w:val="auto"/>
          <w:lang w:val="en-US" w:eastAsia="zh-CN"/>
        </w:rPr>
        <w:t>”</w:t>
      </w:r>
      <w:r>
        <w:rPr>
          <w:rFonts w:hint="eastAsia"/>
          <w:color w:val="auto"/>
          <w:lang w:val="en-US" w:eastAsia="zh-CN"/>
        </w:rPr>
        <w:t>, RAN4#98 e-meeting, Intel.</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213F23"/>
    <w:multiLevelType w:val="singleLevel"/>
    <w:tmpl w:val="A3213F23"/>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EC57E7D"/>
    <w:multiLevelType w:val="multilevel"/>
    <w:tmpl w:val="2EC57E7D"/>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AADCFD5"/>
    <w:multiLevelType w:val="singleLevel"/>
    <w:tmpl w:val="4AADCFD5"/>
    <w:lvl w:ilvl="0" w:tentative="0">
      <w:start w:val="1"/>
      <w:numFmt w:val="bullet"/>
      <w:lvlText w:val=""/>
      <w:lvlJc w:val="left"/>
      <w:pPr>
        <w:ind w:left="420" w:hanging="420"/>
      </w:pPr>
      <w:rPr>
        <w:rFonts w:hint="default" w:ascii="Wingdings" w:hAnsi="Wingdings"/>
      </w:rPr>
    </w:lvl>
  </w:abstractNum>
  <w:abstractNum w:abstractNumId="5">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7">
    <w:nsid w:val="6989BF3D"/>
    <w:multiLevelType w:val="singleLevel"/>
    <w:tmpl w:val="6989BF3D"/>
    <w:lvl w:ilvl="0" w:tentative="0">
      <w:start w:val="1"/>
      <w:numFmt w:val="bullet"/>
      <w:lvlText w:val=""/>
      <w:lvlJc w:val="left"/>
      <w:pPr>
        <w:ind w:left="420" w:hanging="420"/>
      </w:pPr>
      <w:rPr>
        <w:rFonts w:hint="default" w:ascii="Wingdings" w:hAnsi="Wingdings"/>
      </w:rPr>
    </w:lvl>
  </w:abstractNum>
  <w:abstractNum w:abstractNumId="8">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5F1766E"/>
    <w:multiLevelType w:val="multilevel"/>
    <w:tmpl w:val="75F1766E"/>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num w:numId="1">
    <w:abstractNumId w:val="8"/>
  </w:num>
  <w:num w:numId="2">
    <w:abstractNumId w:val="5"/>
  </w:num>
  <w:num w:numId="3">
    <w:abstractNumId w:val="1"/>
  </w:num>
  <w:num w:numId="4">
    <w:abstractNumId w:val="2"/>
  </w:num>
  <w:num w:numId="5">
    <w:abstractNumId w:val="9"/>
  </w:num>
  <w:num w:numId="6">
    <w:abstractNumId w:val="3"/>
  </w:num>
  <w:num w:numId="7">
    <w:abstractNumId w:val="4"/>
  </w:num>
  <w:num w:numId="8">
    <w:abstractNumId w:val="0"/>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E676E0"/>
    <w:rsid w:val="05847CFD"/>
    <w:rsid w:val="05C42923"/>
    <w:rsid w:val="07CD3CDD"/>
    <w:rsid w:val="08044E83"/>
    <w:rsid w:val="0855671D"/>
    <w:rsid w:val="09716BCA"/>
    <w:rsid w:val="097F2D72"/>
    <w:rsid w:val="09E644B8"/>
    <w:rsid w:val="0A685857"/>
    <w:rsid w:val="0BB0429A"/>
    <w:rsid w:val="148F5721"/>
    <w:rsid w:val="15705D92"/>
    <w:rsid w:val="170F06AA"/>
    <w:rsid w:val="180A6E32"/>
    <w:rsid w:val="183F2CD2"/>
    <w:rsid w:val="18CD0507"/>
    <w:rsid w:val="1AD01A1B"/>
    <w:rsid w:val="1C177B08"/>
    <w:rsid w:val="1C9001C6"/>
    <w:rsid w:val="1CBA2101"/>
    <w:rsid w:val="1D223E0B"/>
    <w:rsid w:val="1E853F6F"/>
    <w:rsid w:val="1ECC1E3C"/>
    <w:rsid w:val="20911BDA"/>
    <w:rsid w:val="21244EB1"/>
    <w:rsid w:val="21F13629"/>
    <w:rsid w:val="24122135"/>
    <w:rsid w:val="26BB1419"/>
    <w:rsid w:val="290F5973"/>
    <w:rsid w:val="2A7E505C"/>
    <w:rsid w:val="2A957896"/>
    <w:rsid w:val="2BC05B2C"/>
    <w:rsid w:val="2BD617C5"/>
    <w:rsid w:val="2C112837"/>
    <w:rsid w:val="2F2F0FC8"/>
    <w:rsid w:val="2F4C6F2C"/>
    <w:rsid w:val="30EA720B"/>
    <w:rsid w:val="31B14C9E"/>
    <w:rsid w:val="34616D94"/>
    <w:rsid w:val="34646CFF"/>
    <w:rsid w:val="35B06C6A"/>
    <w:rsid w:val="36D37423"/>
    <w:rsid w:val="3A185287"/>
    <w:rsid w:val="3A692CD0"/>
    <w:rsid w:val="3B673620"/>
    <w:rsid w:val="3B9A1F29"/>
    <w:rsid w:val="3CE4646B"/>
    <w:rsid w:val="3D5E7AA8"/>
    <w:rsid w:val="3D6F2596"/>
    <w:rsid w:val="3E2D152D"/>
    <w:rsid w:val="405F175E"/>
    <w:rsid w:val="40C765F3"/>
    <w:rsid w:val="42F869D2"/>
    <w:rsid w:val="43553536"/>
    <w:rsid w:val="451632B9"/>
    <w:rsid w:val="45F60A50"/>
    <w:rsid w:val="46B036BF"/>
    <w:rsid w:val="46E71A66"/>
    <w:rsid w:val="47282363"/>
    <w:rsid w:val="476C03BB"/>
    <w:rsid w:val="49E55BC5"/>
    <w:rsid w:val="4A102C0D"/>
    <w:rsid w:val="4BC553A2"/>
    <w:rsid w:val="4C1C63D6"/>
    <w:rsid w:val="4E4A2325"/>
    <w:rsid w:val="501A6C55"/>
    <w:rsid w:val="51B14BED"/>
    <w:rsid w:val="525C1CEF"/>
    <w:rsid w:val="53C64B93"/>
    <w:rsid w:val="55B1164D"/>
    <w:rsid w:val="55B4735E"/>
    <w:rsid w:val="56371459"/>
    <w:rsid w:val="57607CBC"/>
    <w:rsid w:val="59DA647E"/>
    <w:rsid w:val="5EB44FC0"/>
    <w:rsid w:val="5FBA395F"/>
    <w:rsid w:val="635902CD"/>
    <w:rsid w:val="64706BBE"/>
    <w:rsid w:val="64F2095B"/>
    <w:rsid w:val="66790DA1"/>
    <w:rsid w:val="66D45BCA"/>
    <w:rsid w:val="67A858DB"/>
    <w:rsid w:val="692D0998"/>
    <w:rsid w:val="69A833BD"/>
    <w:rsid w:val="69F32637"/>
    <w:rsid w:val="6B200619"/>
    <w:rsid w:val="6DDE3DAF"/>
    <w:rsid w:val="70B326CC"/>
    <w:rsid w:val="715F4C2D"/>
    <w:rsid w:val="72BF60CA"/>
    <w:rsid w:val="73CC642D"/>
    <w:rsid w:val="753811DE"/>
    <w:rsid w:val="75C759C1"/>
    <w:rsid w:val="762D64F3"/>
    <w:rsid w:val="76916AA8"/>
    <w:rsid w:val="77173999"/>
    <w:rsid w:val="775B4604"/>
    <w:rsid w:val="77C067C3"/>
    <w:rsid w:val="78911E31"/>
    <w:rsid w:val="7A9367CB"/>
    <w:rsid w:val="7A947426"/>
    <w:rsid w:val="7AF22571"/>
    <w:rsid w:val="7BA412DA"/>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9"/>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7"/>
    <w:semiHidden/>
    <w:unhideWhenUsed/>
    <w:qFormat/>
    <w:uiPriority w:val="99"/>
    <w:rPr>
      <w:rFonts w:ascii="宋体" w:eastAsia="宋体"/>
      <w:sz w:val="18"/>
      <w:szCs w:val="18"/>
    </w:rPr>
  </w:style>
  <w:style w:type="paragraph" w:styleId="7">
    <w:name w:val="Body Text"/>
    <w:basedOn w:val="1"/>
    <w:link w:val="21"/>
    <w:qFormat/>
    <w:uiPriority w:val="0"/>
    <w:pPr>
      <w:spacing w:after="120"/>
      <w:jc w:val="both"/>
    </w:pPr>
    <w:rPr>
      <w:rFonts w:eastAsia="MS Mincho"/>
      <w:lang w:val="zh-CN"/>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7"/>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6"/>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5"/>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4"/>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68</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2021-10-22T15:14:27Z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